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28"/>
        <w:gridCol w:w="990"/>
        <w:gridCol w:w="3525"/>
      </w:tblGrid>
      <w:tr w:rsidR="00BB3CA2" w:rsidRPr="009B5C76" w:rsidTr="00E31F2D">
        <w:tc>
          <w:tcPr>
            <w:tcW w:w="4728" w:type="dxa"/>
          </w:tcPr>
          <w:p w:rsidR="00BB3CA2" w:rsidRPr="009B5C76" w:rsidRDefault="008007F0" w:rsidP="007135AD">
            <w:pPr>
              <w:rPr>
                <w:rFonts w:eastAsia="Arial Unicode MS"/>
                <w:szCs w:val="22"/>
              </w:rPr>
            </w:pPr>
            <w:r w:rsidRPr="009B5C76">
              <w:rPr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25296E3A" wp14:editId="417660FD">
                      <wp:simplePos x="0" y="0"/>
                      <wp:positionH relativeFrom="page">
                        <wp:posOffset>6767830</wp:posOffset>
                      </wp:positionH>
                      <wp:positionV relativeFrom="page">
                        <wp:posOffset>10079990</wp:posOffset>
                      </wp:positionV>
                      <wp:extent cx="647700" cy="396240"/>
                      <wp:effectExtent l="0" t="0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07F0" w:rsidRPr="008007F0" w:rsidRDefault="008007F0" w:rsidP="008007F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  <w:t>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32.9pt;margin-top:793.7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b3tQ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" o:allowincell="f" filled="f" stroked="f">
                      <v:textbox>
                        <w:txbxContent>
                          <w:p w:rsidR="008007F0" w:rsidRPr="008007F0" w:rsidRDefault="008007F0" w:rsidP="008007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04D6D" w:rsidRPr="009B5C76">
              <w:rPr>
                <w:rFonts w:eastAsia="Arial Unicode MS"/>
                <w:szCs w:val="22"/>
                <w:lang w:eastAsia="en-GB" w:bidi="ar-SA"/>
              </w:rPr>
              <w:drawing>
                <wp:inline distT="0" distB="0" distL="0" distR="0" wp14:anchorId="7573B368" wp14:editId="72B69364">
                  <wp:extent cx="1070400" cy="802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R Logo-HR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400" cy="80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BB3CA2" w:rsidRPr="009B5C76" w:rsidRDefault="00BB3CA2" w:rsidP="007135AD">
            <w:pPr>
              <w:rPr>
                <w:szCs w:val="22"/>
              </w:rPr>
            </w:pPr>
          </w:p>
        </w:tc>
        <w:tc>
          <w:tcPr>
            <w:tcW w:w="3525" w:type="dxa"/>
          </w:tcPr>
          <w:p w:rsidR="00BB3CA2" w:rsidRPr="009B5C76" w:rsidRDefault="00BB3CA2" w:rsidP="007135AD">
            <w:pPr>
              <w:jc w:val="center"/>
              <w:rPr>
                <w:b/>
                <w:bCs/>
                <w:szCs w:val="22"/>
              </w:rPr>
            </w:pPr>
          </w:p>
        </w:tc>
      </w:tr>
    </w:tbl>
    <w:p w:rsidR="00BB3CA2" w:rsidRPr="009B5C76" w:rsidRDefault="00BB3CA2" w:rsidP="008007F0">
      <w:pPr>
        <w:textAlignment w:val="auto"/>
      </w:pPr>
    </w:p>
    <w:p w:rsidR="00BB3CA2" w:rsidRPr="009B5C76" w:rsidRDefault="00BB3CA2" w:rsidP="007135AD"/>
    <w:p w:rsidR="00BB3CA2" w:rsidRPr="009B5C76" w:rsidRDefault="00BB3CA2" w:rsidP="007135AD">
      <w:pPr>
        <w:jc w:val="center"/>
        <w:rPr>
          <w:b/>
        </w:rPr>
      </w:pPr>
    </w:p>
    <w:p w:rsidR="004B1BFD" w:rsidRPr="009B5C76" w:rsidRDefault="004B1BFD" w:rsidP="007135AD">
      <w:pPr>
        <w:jc w:val="center"/>
        <w:rPr>
          <w:b/>
        </w:rPr>
      </w:pPr>
    </w:p>
    <w:p w:rsidR="004B1BFD" w:rsidRPr="009B5C76" w:rsidRDefault="004B1BFD" w:rsidP="007135AD">
      <w:pPr>
        <w:jc w:val="center"/>
        <w:rPr>
          <w:b/>
        </w:rPr>
      </w:pPr>
    </w:p>
    <w:p w:rsidR="004B1BFD" w:rsidRPr="009B5C76" w:rsidRDefault="004B1BFD" w:rsidP="007135AD">
      <w:pPr>
        <w:jc w:val="center"/>
        <w:rPr>
          <w:b/>
        </w:rPr>
      </w:pPr>
    </w:p>
    <w:p w:rsidR="004B1BFD" w:rsidRPr="009B5C76" w:rsidRDefault="004B1BFD" w:rsidP="007135AD">
      <w:pPr>
        <w:jc w:val="center"/>
        <w:rPr>
          <w:b/>
        </w:rPr>
      </w:pPr>
    </w:p>
    <w:p w:rsidR="004B1BFD" w:rsidRPr="009B5C76" w:rsidRDefault="004B1BFD" w:rsidP="007135AD">
      <w:pPr>
        <w:jc w:val="center"/>
        <w:rPr>
          <w:b/>
        </w:rPr>
      </w:pPr>
    </w:p>
    <w:p w:rsidR="004B1BFD" w:rsidRPr="009B5C76" w:rsidRDefault="004B1BFD" w:rsidP="007135AD">
      <w:pPr>
        <w:jc w:val="center"/>
        <w:rPr>
          <w:b/>
        </w:rPr>
      </w:pPr>
    </w:p>
    <w:p w:rsidR="004B1BFD" w:rsidRPr="009B5C76" w:rsidRDefault="004B1BFD" w:rsidP="007135AD">
      <w:pPr>
        <w:jc w:val="center"/>
        <w:rPr>
          <w:b/>
        </w:rPr>
      </w:pPr>
    </w:p>
    <w:p w:rsidR="004B1BFD" w:rsidRPr="009B5C76" w:rsidRDefault="004B1BFD" w:rsidP="007135AD">
      <w:pPr>
        <w:jc w:val="center"/>
        <w:rPr>
          <w:b/>
        </w:rPr>
      </w:pPr>
    </w:p>
    <w:p w:rsidR="00BB3CA2" w:rsidRPr="009B5C76" w:rsidRDefault="00BB3CA2" w:rsidP="007135AD">
      <w:pPr>
        <w:jc w:val="center"/>
        <w:rPr>
          <w:b/>
        </w:rPr>
      </w:pPr>
    </w:p>
    <w:p w:rsidR="00BB3CA2" w:rsidRPr="009B5C76" w:rsidRDefault="004F6029" w:rsidP="007135AD">
      <w:pPr>
        <w:jc w:val="center"/>
        <w:rPr>
          <w:b/>
        </w:rPr>
      </w:pPr>
      <w:r w:rsidRPr="009B5C76">
        <w:rPr>
          <w:b/>
        </w:rPr>
        <w:t>IZJAVA PREDSJEDNIŠTVA</w:t>
      </w:r>
      <w:r w:rsidRPr="009B5C76">
        <w:rPr>
          <w:b/>
        </w:rPr>
        <w:br/>
        <w:t>O PROVEDBI EUROPSKOG SEMESTRA ZA 2015.</w:t>
      </w:r>
      <w:r w:rsidRPr="009B5C76">
        <w:rPr>
          <w:b/>
        </w:rPr>
        <w:br/>
        <w:t>I U POGLEDU GODIŠNJEG PREGLEDA RASTA ZA 2016.</w:t>
      </w:r>
    </w:p>
    <w:p w:rsidR="00BB3CA2" w:rsidRPr="009B5C76" w:rsidRDefault="00BB3CA2" w:rsidP="007135AD">
      <w:pPr>
        <w:jc w:val="center"/>
        <w:rPr>
          <w:b/>
        </w:rPr>
      </w:pPr>
    </w:p>
    <w:p w:rsidR="004B0A27" w:rsidRPr="009B5C76" w:rsidRDefault="004B0A27">
      <w:pPr>
        <w:jc w:val="center"/>
      </w:pPr>
      <w:r w:rsidRPr="009B5C76">
        <w:t>____________</w:t>
      </w:r>
    </w:p>
    <w:p w:rsidR="004B0A27" w:rsidRPr="009B5C76" w:rsidRDefault="004B0A27"/>
    <w:p w:rsidR="00BB3CA2" w:rsidRPr="009B5C76" w:rsidRDefault="00BB3CA2" w:rsidP="007135AD">
      <w:pPr>
        <w:jc w:val="center"/>
        <w:rPr>
          <w:b/>
        </w:rPr>
      </w:pPr>
    </w:p>
    <w:p w:rsidR="00BB3CA2" w:rsidRPr="009B5C76" w:rsidRDefault="00BB3CA2" w:rsidP="007135AD">
      <w:pPr>
        <w:jc w:val="center"/>
        <w:rPr>
          <w:b/>
        </w:rPr>
      </w:pPr>
    </w:p>
    <w:p w:rsidR="00BB3CA2" w:rsidRPr="009B5C76" w:rsidRDefault="00BB3CA2" w:rsidP="007135AD">
      <w:pPr>
        <w:jc w:val="center"/>
        <w:rPr>
          <w:b/>
        </w:rPr>
      </w:pPr>
    </w:p>
    <w:p w:rsidR="00BB3CA2" w:rsidRPr="009B5C76" w:rsidRDefault="00BB3CA2" w:rsidP="007135AD">
      <w:pPr>
        <w:jc w:val="center"/>
        <w:rPr>
          <w:b/>
          <w:u w:val="single"/>
        </w:rPr>
      </w:pPr>
    </w:p>
    <w:p w:rsidR="00BB3CA2" w:rsidRPr="009B5C76" w:rsidRDefault="00BB3CA2" w:rsidP="007135AD">
      <w:pPr>
        <w:jc w:val="center"/>
        <w:rPr>
          <w:b/>
          <w:u w:val="single"/>
        </w:rPr>
      </w:pPr>
    </w:p>
    <w:p w:rsidR="00BB3CA2" w:rsidRPr="009B5C76" w:rsidRDefault="00BB3CA2" w:rsidP="007135AD">
      <w:pPr>
        <w:rPr>
          <w:b/>
          <w:u w:val="single"/>
        </w:rPr>
      </w:pPr>
    </w:p>
    <w:p w:rsidR="00BB3CA2" w:rsidRPr="009B5C76" w:rsidRDefault="00BB3CA2" w:rsidP="007135AD">
      <w:pPr>
        <w:rPr>
          <w:b/>
          <w:u w:val="single"/>
        </w:rPr>
        <w:sectPr w:rsidR="00BB3CA2" w:rsidRPr="009B5C76" w:rsidSect="00EB42B0">
          <w:footerReference w:type="default" r:id="rId14"/>
          <w:pgSz w:w="11907" w:h="16840" w:code="9"/>
          <w:pgMar w:top="567" w:right="1440" w:bottom="2268" w:left="1440" w:header="283" w:footer="1191" w:gutter="0"/>
          <w:pgNumType w:start="1"/>
          <w:cols w:space="720"/>
          <w:docGrid w:linePitch="299"/>
        </w:sectPr>
      </w:pPr>
    </w:p>
    <w:p w:rsidR="00DF568A" w:rsidRPr="009B5C76" w:rsidRDefault="00DF568A" w:rsidP="007135AD">
      <w:pPr>
        <w:overflowPunct/>
        <w:jc w:val="left"/>
        <w:textAlignment w:val="auto"/>
        <w:rPr>
          <w:b/>
        </w:rPr>
      </w:pPr>
      <w:bookmarkStart w:id="0" w:name="_GoBack"/>
      <w:bookmarkEnd w:id="0"/>
      <w:r w:rsidRPr="009B5C76">
        <w:rPr>
          <w:b/>
        </w:rPr>
        <w:lastRenderedPageBreak/>
        <w:t>Predsjedništvo Europskog odbora regija,</w:t>
      </w:r>
    </w:p>
    <w:p w:rsidR="00DF568A" w:rsidRPr="009B5C76" w:rsidRDefault="00DF568A" w:rsidP="007135AD">
      <w:pPr>
        <w:overflowPunct/>
        <w:jc w:val="left"/>
        <w:textAlignment w:val="auto"/>
      </w:pPr>
    </w:p>
    <w:p w:rsidR="00DF568A" w:rsidRPr="009B5C76" w:rsidRDefault="00DF568A" w:rsidP="00DB4E2E">
      <w:pPr>
        <w:numPr>
          <w:ilvl w:val="0"/>
          <w:numId w:val="7"/>
        </w:numPr>
        <w:overflowPunct/>
        <w:adjustRightInd/>
        <w:ind w:left="369" w:hanging="369"/>
        <w:textAlignment w:val="auto"/>
      </w:pPr>
      <w:r w:rsidRPr="009B5C76">
        <w:t>uzimajući u obzir da se aktualnim međuinstitucionalnim sporazumom s Europskom komisijom</w:t>
      </w:r>
      <w:r w:rsidRPr="009B5C76">
        <w:rPr>
          <w:rStyle w:val="FootnoteReference"/>
          <w:rFonts w:eastAsiaTheme="majorEastAsia"/>
        </w:rPr>
        <w:footnoteReference w:id="1"/>
      </w:r>
      <w:r w:rsidRPr="009B5C76">
        <w:t xml:space="preserve"> OR obvezuje da će prenijeti stavove lokalnih i regionalnih vlasti EU-a o Godišnjem pregledu rasta za 2016., koji predstavlj</w:t>
      </w:r>
      <w:r w:rsidR="0095519A" w:rsidRPr="009B5C76">
        <w:t>a polazište europskog semestra;</w:t>
      </w:r>
    </w:p>
    <w:p w:rsidR="00DF568A" w:rsidRPr="009B5C76" w:rsidRDefault="00DF568A" w:rsidP="00DB4E2E">
      <w:pPr>
        <w:overflowPunct/>
        <w:adjustRightInd/>
        <w:textAlignment w:val="auto"/>
      </w:pPr>
    </w:p>
    <w:p w:rsidR="00DF568A" w:rsidRPr="009B5C76" w:rsidRDefault="00DF568A" w:rsidP="00DB4E2E">
      <w:pPr>
        <w:numPr>
          <w:ilvl w:val="0"/>
          <w:numId w:val="7"/>
        </w:numPr>
        <w:overflowPunct/>
        <w:adjustRightInd/>
        <w:textAlignment w:val="auto"/>
      </w:pPr>
      <w:r w:rsidRPr="009B5C76">
        <w:t>uzimajući u obzir da se aktualnim sporazumom o suradnji s Europskim parlamentom</w:t>
      </w:r>
      <w:r w:rsidRPr="009B5C76">
        <w:rPr>
          <w:rStyle w:val="FootnoteReference"/>
          <w:rFonts w:eastAsiaTheme="majorEastAsia"/>
        </w:rPr>
        <w:footnoteReference w:id="2"/>
      </w:r>
      <w:r w:rsidRPr="009B5C76">
        <w:t xml:space="preserve"> predviđa aktivno uključivanje OR-a u rad Parlamen</w:t>
      </w:r>
      <w:r w:rsidR="0095519A" w:rsidRPr="009B5C76">
        <w:t>ta u okviru europskog semestra;</w:t>
      </w:r>
    </w:p>
    <w:p w:rsidR="00DF568A" w:rsidRPr="009B5C76" w:rsidRDefault="00DF568A" w:rsidP="00DB4E2E">
      <w:pPr>
        <w:overflowPunct/>
        <w:adjustRightInd/>
        <w:textAlignment w:val="auto"/>
      </w:pPr>
    </w:p>
    <w:p w:rsidR="00DF568A" w:rsidRPr="009B5C76" w:rsidRDefault="00DF568A" w:rsidP="00DB4E2E">
      <w:pPr>
        <w:numPr>
          <w:ilvl w:val="0"/>
          <w:numId w:val="7"/>
        </w:numPr>
        <w:overflowPunct/>
        <w:adjustRightInd/>
        <w:textAlignment w:val="auto"/>
      </w:pPr>
      <w:r w:rsidRPr="009B5C76">
        <w:t>uzimajući u obzir OR-ovu Teritorijalnu analizu preporuka za pojedine zemlje iz 2015.</w:t>
      </w:r>
      <w:r w:rsidRPr="009B5C76">
        <w:rPr>
          <w:rStyle w:val="FootnoteReference"/>
          <w:rFonts w:eastAsiaTheme="majorEastAsia"/>
        </w:rPr>
        <w:footnoteReference w:id="3"/>
      </w:r>
      <w:r w:rsidRPr="009B5C76">
        <w:t>, Atensku deklaraciju o ocjeni tijekom provedbe strategije Europa 2020.: teritorijalna vizija za rast i radna mjesta</w:t>
      </w:r>
      <w:r w:rsidRPr="009B5C76">
        <w:rPr>
          <w:rStyle w:val="FootnoteReference"/>
          <w:rFonts w:eastAsiaTheme="majorEastAsia"/>
        </w:rPr>
        <w:footnoteReference w:id="4"/>
      </w:r>
      <w:r w:rsidRPr="009B5C76">
        <w:t xml:space="preserve"> i s time povezani Nacrt za reviziju strategije Europa 2020.</w:t>
      </w:r>
      <w:r w:rsidRPr="009B5C76">
        <w:rPr>
          <w:rStyle w:val="FootnoteReference"/>
          <w:rFonts w:eastAsiaTheme="majorEastAsia"/>
        </w:rPr>
        <w:footnoteReference w:id="5"/>
      </w:r>
      <w:r w:rsidRPr="009B5C76">
        <w:t>;</w:t>
      </w:r>
    </w:p>
    <w:p w:rsidR="00DB4E2E" w:rsidRPr="009B5C76" w:rsidRDefault="00DB4E2E" w:rsidP="00DB4E2E">
      <w:pPr>
        <w:overflowPunct/>
        <w:adjustRightInd/>
        <w:textAlignment w:val="auto"/>
      </w:pPr>
    </w:p>
    <w:p w:rsidR="00DB4E2E" w:rsidRPr="009B5C76" w:rsidRDefault="00DF568A" w:rsidP="008007F0">
      <w:pPr>
        <w:keepNext/>
        <w:keepLines/>
        <w:overflowPunct/>
        <w:adjustRightInd/>
        <w:textAlignment w:val="auto"/>
        <w:rPr>
          <w:b/>
        </w:rPr>
      </w:pPr>
      <w:r w:rsidRPr="009B5C76">
        <w:rPr>
          <w:b/>
        </w:rPr>
        <w:t>Gospodarsko stanje i regionalne razlike</w:t>
      </w:r>
    </w:p>
    <w:p w:rsidR="00DF568A" w:rsidRPr="009B5C76" w:rsidRDefault="00DF568A" w:rsidP="008007F0">
      <w:pPr>
        <w:keepNext/>
        <w:keepLines/>
        <w:overflowPunct/>
        <w:adjustRightInd/>
        <w:textAlignment w:val="auto"/>
        <w:rPr>
          <w:b/>
        </w:rPr>
      </w:pPr>
    </w:p>
    <w:p w:rsidR="00DF568A" w:rsidRPr="009B5C76" w:rsidRDefault="00A80401" w:rsidP="00DD0138">
      <w:pPr>
        <w:pStyle w:val="Heading1"/>
        <w:ind w:left="567" w:hanging="567"/>
      </w:pPr>
      <w:r w:rsidRPr="009B5C76">
        <w:t>naglašava da je gospodarstvo EU-a i dalje u stanju</w:t>
      </w:r>
      <w:r w:rsidRPr="009B5C76">
        <w:rPr>
          <w:rStyle w:val="FootnoteReference"/>
          <w:rFonts w:eastAsiaTheme="majorEastAsia"/>
        </w:rPr>
        <w:footnoteReference w:id="6"/>
      </w:r>
      <w:r w:rsidRPr="009B5C76">
        <w:t xml:space="preserve"> trajno niskog rasta, visoke nezaposlenosti, povećanog siromaštva i marginalizacije te da se jaz u ulaganju nakon krize procjenjuje na više od 300 milijardi eura;</w:t>
      </w:r>
    </w:p>
    <w:p w:rsidR="00DF568A" w:rsidRPr="009B5C76" w:rsidRDefault="00DF568A" w:rsidP="00DD0138">
      <w:pPr>
        <w:ind w:left="567" w:hanging="567"/>
      </w:pPr>
    </w:p>
    <w:p w:rsidR="00DF568A" w:rsidRPr="009B5C76" w:rsidRDefault="00A80401" w:rsidP="00DD0138">
      <w:pPr>
        <w:pStyle w:val="Heading1"/>
        <w:ind w:left="567" w:hanging="567"/>
      </w:pPr>
      <w:r w:rsidRPr="009B5C76">
        <w:t>ističe da su regionalne razlike između država članica u vidu BDP-a po stanovniku i drugih pokazatelja zapošljavanja i blagostanja te socijalnih pokazatelja često manje od razlika unutar država članica</w:t>
      </w:r>
      <w:r w:rsidRPr="009B5C76">
        <w:rPr>
          <w:rStyle w:val="FootnoteReference"/>
          <w:rFonts w:eastAsiaTheme="majorEastAsia"/>
        </w:rPr>
        <w:footnoteReference w:id="7"/>
      </w:r>
      <w:r w:rsidRPr="009B5C76">
        <w:t xml:space="preserve"> i da se te razli</w:t>
      </w:r>
      <w:r w:rsidR="0095519A" w:rsidRPr="009B5C76">
        <w:t>ke od početka krize povećavaju;</w:t>
      </w:r>
    </w:p>
    <w:p w:rsidR="00DF568A" w:rsidRPr="009B5C76" w:rsidRDefault="00DF568A" w:rsidP="007135AD"/>
    <w:p w:rsidR="00DF568A" w:rsidRPr="009B5C76" w:rsidRDefault="00DF568A" w:rsidP="008007F0">
      <w:pPr>
        <w:keepNext/>
        <w:keepLines/>
        <w:overflowPunct/>
        <w:adjustRightInd/>
        <w:textAlignment w:val="auto"/>
        <w:rPr>
          <w:b/>
        </w:rPr>
      </w:pPr>
      <w:r w:rsidRPr="009B5C76">
        <w:rPr>
          <w:b/>
        </w:rPr>
        <w:t>Europski semestar za 2015. godinu i Godišnji pregled rasta za 2016.</w:t>
      </w:r>
    </w:p>
    <w:p w:rsidR="00DF568A" w:rsidRPr="009B5C76" w:rsidRDefault="00DF568A" w:rsidP="008007F0">
      <w:pPr>
        <w:keepNext/>
        <w:keepLines/>
        <w:overflowPunct/>
        <w:adjustRightInd/>
        <w:textAlignment w:val="auto"/>
      </w:pPr>
    </w:p>
    <w:p w:rsidR="00DF568A" w:rsidRPr="009B5C76" w:rsidRDefault="00A80401" w:rsidP="00DD0138">
      <w:pPr>
        <w:pStyle w:val="Heading1"/>
        <w:tabs>
          <w:tab w:val="left" w:pos="567"/>
        </w:tabs>
        <w:ind w:left="567" w:hanging="567"/>
      </w:pPr>
      <w:r w:rsidRPr="009B5C76">
        <w:t xml:space="preserve">pozdravlja prioritete iz Godišnjeg pregleda rasta za 2015., odnosno ulaganja, strukturne reforme i fiskalnu konsolidaciju koja pogoduje rastu te dijeli mišljenje izraženo u Godišnjem pregledu rasta da postoji potreba za povećanjem odgovornosti i djelotvornosti europskog semestra; </w:t>
      </w:r>
    </w:p>
    <w:p w:rsidR="00DF568A" w:rsidRPr="009B5C76" w:rsidRDefault="00DF568A" w:rsidP="007135AD"/>
    <w:p w:rsidR="00DF568A" w:rsidRPr="009B5C76" w:rsidRDefault="00D40D41" w:rsidP="00DD0138">
      <w:pPr>
        <w:pStyle w:val="Heading1"/>
        <w:tabs>
          <w:tab w:val="left" w:pos="567"/>
        </w:tabs>
        <w:ind w:left="567" w:hanging="567"/>
      </w:pPr>
      <w:r w:rsidRPr="009B5C76">
        <w:t>naglašava da novi Europski fond za strateška ulaganja (EFSU), kao dio Plana ulaganja za Europu, treba nadopunjavati lokalne i regionalne strategije ulaganja i operativne programe strukturnih fondova te da države članice trebaju u velikoj mjeri uključiti lokalne i regionalne vlasti u promicanje portfelja projekata i investicijskih platformi;</w:t>
      </w:r>
    </w:p>
    <w:p w:rsidR="00DF568A" w:rsidRPr="009B5C76" w:rsidRDefault="00DF568A" w:rsidP="007135AD">
      <w:pPr>
        <w:overflowPunct/>
        <w:adjustRightInd/>
        <w:textAlignment w:val="auto"/>
      </w:pPr>
    </w:p>
    <w:p w:rsidR="00D40D41" w:rsidRPr="009B5C76" w:rsidRDefault="00D40D41" w:rsidP="00DD0138">
      <w:pPr>
        <w:pStyle w:val="Heading1"/>
        <w:tabs>
          <w:tab w:val="left" w:pos="567"/>
        </w:tabs>
        <w:ind w:left="567" w:hanging="567"/>
      </w:pPr>
      <w:r w:rsidRPr="009B5C76">
        <w:lastRenderedPageBreak/>
        <w:t>ističe da bi države članice trebale na najbolji način iskoristiti mogućnosti prilagodbe koje dozvoljava Pakt o stabilnosti i rastu i ustraje na tome da nacionalnu potrošnju u okviru EFSU-a i ESIF-a ne treba uračunati u gornje granice Pakta, osobito za zemlje u korektivnom dijelu Pakta, na koje je fiskalna konsolidacija do sada najviše utjecala i kojima je rast najpotrebniji;</w:t>
      </w:r>
    </w:p>
    <w:p w:rsidR="00DF568A" w:rsidRPr="009B5C76" w:rsidRDefault="00DF568A" w:rsidP="00D40D41">
      <w:pPr>
        <w:pStyle w:val="Heading1"/>
        <w:numPr>
          <w:ilvl w:val="0"/>
          <w:numId w:val="0"/>
        </w:numPr>
      </w:pPr>
    </w:p>
    <w:p w:rsidR="00DF568A" w:rsidRPr="009B5C76" w:rsidRDefault="00D40D41" w:rsidP="00DD0138">
      <w:pPr>
        <w:pStyle w:val="Heading1"/>
        <w:tabs>
          <w:tab w:val="left" w:pos="567"/>
        </w:tabs>
        <w:ind w:left="567" w:hanging="567"/>
      </w:pPr>
      <w:r w:rsidRPr="009B5C76">
        <w:t>ponavlja svoj poziv da se u javno računovodstvo uvede „zlatno pravilo“ odvajanja dugoročnog ulaganja iz kojeg proizlazi rast od tekućih izdataka;</w:t>
      </w:r>
    </w:p>
    <w:p w:rsidR="00DF568A" w:rsidRPr="009B5C76" w:rsidRDefault="00DF568A" w:rsidP="007135AD"/>
    <w:p w:rsidR="00DF568A" w:rsidRPr="009B5C76" w:rsidRDefault="00D40D41" w:rsidP="00DD0138">
      <w:pPr>
        <w:pStyle w:val="Heading1"/>
        <w:tabs>
          <w:tab w:val="left" w:pos="567"/>
        </w:tabs>
        <w:ind w:left="567" w:hanging="567"/>
      </w:pPr>
      <w:r w:rsidRPr="009B5C76">
        <w:t>pozdravlja racionalizaciju europskog semestra kako bi ga se učinilo učinkovitijim i kako bi se ojačalo preuzimanje odgovornosti za njega te osobito pozdravlja ranije izdavanje izvješća za pojedine zemlje kako bi se dionicima olakšalo sudjelovanje; poziva države članice da sustavnije uključe lokalne i regionalne vlasti i druge relevantne dionike u ovu fazu semestra;</w:t>
      </w:r>
    </w:p>
    <w:p w:rsidR="00DF568A" w:rsidRPr="009B5C76" w:rsidRDefault="00DF568A" w:rsidP="007135AD"/>
    <w:p w:rsidR="00DF568A" w:rsidRPr="009B5C76" w:rsidRDefault="00D40D41" w:rsidP="00DD0138">
      <w:pPr>
        <w:pStyle w:val="Heading1"/>
        <w:tabs>
          <w:tab w:val="left" w:pos="567"/>
        </w:tabs>
        <w:ind w:left="567" w:hanging="567"/>
      </w:pPr>
      <w:r w:rsidRPr="009B5C76">
        <w:t>naglašava da bi europski semestar trebao bi biti usklađen s ciljevima sveobuhvatne dugoročne strategije EU-a za rast i zapošljavanje za razdoblje do 2020. i dalje;</w:t>
      </w:r>
    </w:p>
    <w:p w:rsidR="008007F0" w:rsidRPr="009B5C76" w:rsidRDefault="008007F0" w:rsidP="00DD0138">
      <w:pPr>
        <w:pStyle w:val="Heading1"/>
        <w:numPr>
          <w:ilvl w:val="0"/>
          <w:numId w:val="0"/>
        </w:numPr>
      </w:pPr>
    </w:p>
    <w:p w:rsidR="004C6F38" w:rsidRPr="009B5C76" w:rsidRDefault="004B373F" w:rsidP="00DD0138">
      <w:pPr>
        <w:pStyle w:val="Heading1"/>
        <w:tabs>
          <w:tab w:val="left" w:pos="567"/>
        </w:tabs>
        <w:ind w:left="567" w:hanging="567"/>
        <w:rPr>
          <w:color w:val="1F497D"/>
        </w:rPr>
      </w:pPr>
      <w:r w:rsidRPr="009B5C76">
        <w:t>pozdravlja činjenicu da su u nekoliko država nacionalne vlade pripremile i provele nacionalne programe reformi za 2015. godinu u suradnji s podnacionalnim vladama i da je u većini nacionalnih programa istaknuto postojanje regionalnih razlika i potrebe za regionalno prilagođenim politikama; međutim, napominje da potreba za teritorijalnom dimenzijom nacionalnih politika i partnerskom suradnjom različitih razina vlasti još nije stalna značajka nacionalnih programa reformi;</w:t>
      </w:r>
    </w:p>
    <w:p w:rsidR="00DF568A" w:rsidRPr="009B5C76" w:rsidRDefault="00DF568A" w:rsidP="007135AD">
      <w:pPr>
        <w:rPr>
          <w:i/>
        </w:rPr>
      </w:pPr>
    </w:p>
    <w:p w:rsidR="00DF568A" w:rsidRPr="009B5C76" w:rsidRDefault="00D40D41" w:rsidP="00DD0138">
      <w:pPr>
        <w:pStyle w:val="Heading1"/>
        <w:tabs>
          <w:tab w:val="left" w:pos="567"/>
        </w:tabs>
        <w:ind w:left="567" w:hanging="567"/>
      </w:pPr>
      <w:r w:rsidRPr="009B5C76">
        <w:t>pozdravlja činjenicu da sada postoji manje preporuka za pojedine zemlje i da su one više usmjerene na ciljeve koje države članice trebaju postić</w:t>
      </w:r>
      <w:r w:rsidR="0095519A" w:rsidRPr="009B5C76">
        <w:t>i nego na to kako ih ostvariti;</w:t>
      </w:r>
    </w:p>
    <w:p w:rsidR="00DF568A" w:rsidRPr="009B5C76" w:rsidRDefault="00DF568A" w:rsidP="007135AD"/>
    <w:p w:rsidR="00DF568A" w:rsidRPr="009B5C76" w:rsidRDefault="00D40D41" w:rsidP="00DD0138">
      <w:pPr>
        <w:pStyle w:val="Heading1"/>
        <w:tabs>
          <w:tab w:val="left" w:pos="567"/>
        </w:tabs>
        <w:ind w:left="567" w:hanging="567"/>
      </w:pPr>
      <w:r w:rsidRPr="009B5C76">
        <w:t>upozorava da u preporukama za pojedine zemlje treba postojati pravedna ravnoteža između kratkoročnih fiskalnih ciljeva, dugoročnih ulaganja i strukturne reforme;</w:t>
      </w:r>
    </w:p>
    <w:p w:rsidR="00DF568A" w:rsidRPr="009B5C76" w:rsidRDefault="00DF568A" w:rsidP="007135AD"/>
    <w:p w:rsidR="00DF568A" w:rsidRPr="009B5C76" w:rsidRDefault="00D40D41" w:rsidP="00DD0138">
      <w:pPr>
        <w:pStyle w:val="Heading1"/>
        <w:tabs>
          <w:tab w:val="left" w:pos="567"/>
        </w:tabs>
        <w:ind w:left="567" w:hanging="567"/>
      </w:pPr>
      <w:r w:rsidRPr="009B5C76">
        <w:t>pozdravlja činjenicu da se u svim izvješćima za pojedine zemlje</w:t>
      </w:r>
      <w:r w:rsidRPr="009B5C76">
        <w:rPr>
          <w:rStyle w:val="FootnoteReference"/>
          <w:rFonts w:eastAsiaTheme="majorEastAsia"/>
        </w:rPr>
        <w:footnoteReference w:id="8"/>
      </w:r>
      <w:r w:rsidRPr="009B5C76">
        <w:t xml:space="preserve"> razmatraju pitanja u vezi s regionalnim razlikama unutar država članica, da se 53 preporuke za pojedine zemlje odnose na utjecaj postojećih regionalnih razlika i da je od tih preporuka njih 19 izravno upućeno l</w:t>
      </w:r>
      <w:r w:rsidR="0095519A" w:rsidRPr="009B5C76">
        <w:t>okalnim i regionalnim vlastima;</w:t>
      </w:r>
    </w:p>
    <w:p w:rsidR="00DF568A" w:rsidRPr="009B5C76" w:rsidRDefault="00DF568A" w:rsidP="007135AD"/>
    <w:p w:rsidR="00DF568A" w:rsidRPr="009B5C76" w:rsidRDefault="002531BE" w:rsidP="00DD0138">
      <w:pPr>
        <w:pStyle w:val="Heading1"/>
        <w:tabs>
          <w:tab w:val="left" w:pos="567"/>
        </w:tabs>
        <w:ind w:left="567" w:hanging="567"/>
      </w:pPr>
      <w:r w:rsidRPr="009B5C76">
        <w:t>naglašava da bi, kako bi europski semestar imao teritorijalnu dimenziju, Godišnji pregled rasta trebao potaknuti države članice da uključe svoje lokalne i regionalne vlasti u određivanje regionalno različitih doprinosa ciljevima strategije Europa 2020. te u osmišljavanje i provedbu nacionalnih programa reformi na temelju načela višerazinskog upravljanja;</w:t>
      </w:r>
    </w:p>
    <w:p w:rsidR="00DF568A" w:rsidRPr="009B5C76" w:rsidRDefault="00DF568A" w:rsidP="007135AD"/>
    <w:p w:rsidR="00DF568A" w:rsidRPr="009B5C76" w:rsidRDefault="002531BE" w:rsidP="00DD0138">
      <w:pPr>
        <w:pStyle w:val="Heading1"/>
        <w:tabs>
          <w:tab w:val="left" w:pos="567"/>
        </w:tabs>
        <w:ind w:left="567" w:hanging="567"/>
      </w:pPr>
      <w:r w:rsidRPr="009B5C76">
        <w:lastRenderedPageBreak/>
        <w:t>poziva Komisiju i Parlament da usvoje kodeks ponašanja kako bi se zajamčila sustavna uključenost lokalnih i regionalnih vlasti u europski semestar i u strategiju Europa 2020. te najavljuje da će OR dati kon</w:t>
      </w:r>
      <w:r w:rsidR="0095519A" w:rsidRPr="009B5C76">
        <w:t>kretan prijedlog o tom pitanju;</w:t>
      </w:r>
    </w:p>
    <w:p w:rsidR="00DF568A" w:rsidRPr="009B5C76" w:rsidRDefault="00DF568A" w:rsidP="007135AD"/>
    <w:p w:rsidR="00DF568A" w:rsidRPr="009B5C76" w:rsidRDefault="002531BE" w:rsidP="00DD0138">
      <w:pPr>
        <w:pStyle w:val="Heading1"/>
        <w:tabs>
          <w:tab w:val="left" w:pos="567"/>
        </w:tabs>
        <w:ind w:left="567" w:hanging="567"/>
      </w:pPr>
      <w:r w:rsidRPr="009B5C76">
        <w:t xml:space="preserve">ističe da bi se u izvješćima i preporukama za pojedine zemlje trebalo izričito pozabaviti pitanjima povezanim s teritorijalnim razlikama te da bi se oni morali sustavno temeljiti na uključivanju podnacionalnih vlada; </w:t>
      </w:r>
      <w:r w:rsidRPr="009B5C76">
        <w:rPr>
          <w:rFonts w:ascii="TimesNewRoman" w:hAnsi="TimesNewRoman"/>
        </w:rPr>
        <w:t>poziva Komisiju da teritorijalna pitanja uključi u glavne dokumente europskog semestra i da ih potkrijepi sustavnim teritorijalnim analizama te ponovno od Komisije zahtijeva da u svoje godišnje izvješće o javnim financijama u EMU-u uključi poglavlje o podnacionalnim vlastima;</w:t>
      </w:r>
    </w:p>
    <w:p w:rsidR="00DF568A" w:rsidRPr="009B5C76" w:rsidRDefault="00DF568A" w:rsidP="007135AD">
      <w:pPr>
        <w:overflowPunct/>
        <w:adjustRightInd/>
        <w:textAlignment w:val="auto"/>
        <w:rPr>
          <w:rFonts w:ascii="TimesNewRoman" w:hAnsi="TimesNewRoman"/>
        </w:rPr>
      </w:pPr>
    </w:p>
    <w:p w:rsidR="00DF568A" w:rsidRPr="009B5C76" w:rsidRDefault="002531BE" w:rsidP="00DD0138">
      <w:pPr>
        <w:pStyle w:val="Heading1"/>
        <w:tabs>
          <w:tab w:val="left" w:pos="567"/>
        </w:tabs>
        <w:ind w:left="567" w:hanging="567"/>
      </w:pPr>
      <w:r w:rsidRPr="009B5C76">
        <w:t>podsjeća da je potreba za poboljšanjem administrativnih kapaciteta glavni izazov za mnoge lokalne i regionalne vlasti; pozdravlja činjenicu da se u izvješćima za pojedine zemlje to pitanje razmatra i predlaže da se u tom pogledu usklađeno djeluje na više razina, npr. kroz novu vodeću inicijativu strategije Europa 2020.;</w:t>
      </w:r>
      <w:r w:rsidRPr="009B5C76">
        <w:rPr>
          <w:rStyle w:val="FootnoteReference"/>
          <w:rFonts w:eastAsiaTheme="majorEastAsia"/>
        </w:rPr>
        <w:footnoteReference w:id="9"/>
      </w:r>
    </w:p>
    <w:p w:rsidR="00DF568A" w:rsidRPr="009B5C76" w:rsidRDefault="00DF568A" w:rsidP="007135AD"/>
    <w:p w:rsidR="00DF568A" w:rsidRPr="009B5C76" w:rsidRDefault="002531BE" w:rsidP="00DD0138">
      <w:pPr>
        <w:pStyle w:val="Heading1"/>
        <w:tabs>
          <w:tab w:val="left" w:pos="567"/>
        </w:tabs>
        <w:ind w:left="567" w:hanging="567"/>
      </w:pPr>
      <w:r w:rsidRPr="009B5C76">
        <w:t>naglašava da je za poticanje dugoročnog ulaganja potrebna jača koordinacija i integracija različitih programa politika EU-a i kanala financiranja, žali što ovo pitanje nije razmotreno u europskom semestru i predlaže da se pitanje bolje koordinacije između proračuna EU-a te nacionalnih i podnacionalnih proračuna razmatra u nacionalnim programima reformi;</w:t>
      </w:r>
      <w:r w:rsidRPr="009B5C76">
        <w:rPr>
          <w:rStyle w:val="FootnoteReference"/>
          <w:rFonts w:eastAsiaTheme="majorEastAsia"/>
        </w:rPr>
        <w:footnoteReference w:id="10"/>
      </w:r>
    </w:p>
    <w:p w:rsidR="00DF568A" w:rsidRPr="009B5C76" w:rsidRDefault="00DF568A" w:rsidP="007135AD"/>
    <w:p w:rsidR="00DF568A" w:rsidRPr="009B5C76" w:rsidRDefault="002531BE" w:rsidP="00DD0138">
      <w:pPr>
        <w:pStyle w:val="Heading1"/>
        <w:tabs>
          <w:tab w:val="left" w:pos="567"/>
        </w:tabs>
        <w:ind w:left="567" w:hanging="567"/>
      </w:pPr>
      <w:r w:rsidRPr="009B5C76">
        <w:t>pozdravlja Eurostatovo redovno objavljivanje pokazatelja napretka strategije Europa 2020.; ističe da su za praćenje provedbe europskog semestra i strategije Europa 2020. na podnacionalnoj razini potrebni ažurirani i detaljnij</w:t>
      </w:r>
      <w:r w:rsidR="0095519A" w:rsidRPr="009B5C76">
        <w:t>i podaci na regionalnoj razini;</w:t>
      </w:r>
    </w:p>
    <w:p w:rsidR="00DF568A" w:rsidRPr="009B5C76" w:rsidRDefault="00DF568A" w:rsidP="007135AD">
      <w:pPr>
        <w:overflowPunct/>
        <w:adjustRightInd/>
        <w:textAlignment w:val="auto"/>
      </w:pPr>
    </w:p>
    <w:p w:rsidR="00DF568A" w:rsidRPr="009B5C76" w:rsidRDefault="002531BE" w:rsidP="00DD0138">
      <w:pPr>
        <w:pStyle w:val="Heading1"/>
        <w:tabs>
          <w:tab w:val="left" w:pos="567"/>
        </w:tabs>
        <w:ind w:left="567" w:hanging="567"/>
      </w:pPr>
      <w:r w:rsidRPr="009B5C76">
        <w:t>podsjeća na hitnu potrebu da se za rast i pametnu infrastrukturu uspostavi istinski strateški postupak dijaloga i praćenja utemeljen na dokazima koji treba voditi novo Vijeće za koheziju u punom partnerstvu s podnacionalnom razinom, uz primjenu odgovarajućih pokazatelja;</w:t>
      </w:r>
    </w:p>
    <w:p w:rsidR="00DF568A" w:rsidRPr="009B5C76" w:rsidRDefault="00DF568A" w:rsidP="007135AD">
      <w:pPr>
        <w:overflowPunct/>
        <w:adjustRightInd/>
        <w:textAlignment w:val="auto"/>
      </w:pPr>
    </w:p>
    <w:p w:rsidR="000B4591" w:rsidRPr="009B5C76" w:rsidRDefault="00DF568A" w:rsidP="00985E57">
      <w:pPr>
        <w:keepNext/>
        <w:keepLines/>
        <w:overflowPunct/>
        <w:adjustRightInd/>
        <w:textAlignment w:val="auto"/>
        <w:rPr>
          <w:b/>
        </w:rPr>
      </w:pPr>
      <w:r w:rsidRPr="009B5C76">
        <w:rPr>
          <w:b/>
        </w:rPr>
        <w:t>Strategija Europa 2020.</w:t>
      </w:r>
    </w:p>
    <w:p w:rsidR="00DF568A" w:rsidRPr="009B5C76" w:rsidRDefault="00DF568A" w:rsidP="00985E57">
      <w:pPr>
        <w:keepNext/>
        <w:keepLines/>
        <w:overflowPunct/>
        <w:adjustRightInd/>
        <w:textAlignment w:val="auto"/>
      </w:pPr>
    </w:p>
    <w:p w:rsidR="00DF568A" w:rsidRPr="009B5C76" w:rsidRDefault="00DF568A" w:rsidP="00DD0138">
      <w:pPr>
        <w:pStyle w:val="Heading1"/>
        <w:tabs>
          <w:tab w:val="left" w:pos="567"/>
        </w:tabs>
        <w:ind w:left="567" w:hanging="567"/>
      </w:pPr>
      <w:r w:rsidRPr="009B5C76">
        <w:t>naglašava da je Europa 2020. dugoročna strategija EU-a za rast i radna mjesta, da njezinu reviziju sredinom provedbenog razdoblja treba brzo obaviti i da europski semestar za 2016. godinu, tijekom kojeg će biti pokrenuta revidirana strategija, treba poslati snažnu poruku o usklađivanju s dugoročnim ciljevima str</w:t>
      </w:r>
      <w:r w:rsidR="0095519A" w:rsidRPr="009B5C76">
        <w:t>ategije;</w:t>
      </w:r>
    </w:p>
    <w:p w:rsidR="00D40D41" w:rsidRPr="009B5C76" w:rsidRDefault="00D40D41" w:rsidP="00D40D41"/>
    <w:p w:rsidR="00DF568A" w:rsidRPr="009B5C76" w:rsidRDefault="00347713" w:rsidP="00DD0138">
      <w:pPr>
        <w:pStyle w:val="Heading1"/>
        <w:tabs>
          <w:tab w:val="left" w:pos="567"/>
        </w:tabs>
        <w:ind w:left="567" w:hanging="567"/>
      </w:pPr>
      <w:r w:rsidRPr="009B5C76">
        <w:t>ističe da strategija Europa 2020. treba imati istinski teritorijalnu dimenziju i preporučuje da se regijama i gradovima omogući da odluče o svojem doprinosu ciljevima strategije Europa 2020., bilo usvajanjem regionalnih ciljeva ili na drugi način;</w:t>
      </w:r>
    </w:p>
    <w:p w:rsidR="00D40D41" w:rsidRPr="009B5C76" w:rsidRDefault="00D40D41" w:rsidP="00D40D41"/>
    <w:p w:rsidR="00DF568A" w:rsidRPr="009B5C76" w:rsidRDefault="00347713" w:rsidP="00DD0138">
      <w:pPr>
        <w:pStyle w:val="Heading1"/>
        <w:tabs>
          <w:tab w:val="left" w:pos="567"/>
        </w:tabs>
        <w:ind w:left="567" w:hanging="567"/>
      </w:pPr>
      <w:r w:rsidRPr="009B5C76">
        <w:t>naglašava da, zbog učinkovitosti i odgovornosti, lokalne i regionalne vlasti i drugi relevantni dionici trebaju biti uključeni u upravljanje strategijom Europa 2020. kroz kombinirani pristup odozgo prema dolje i odozdo prema gore, unutar fleksibilnih mehani</w:t>
      </w:r>
      <w:r w:rsidR="0095519A" w:rsidRPr="009B5C76">
        <w:t>zama višerazinskog upravljanja;</w:t>
      </w:r>
    </w:p>
    <w:p w:rsidR="00DF568A" w:rsidRPr="009B5C76" w:rsidRDefault="00DF568A" w:rsidP="007135AD">
      <w:pPr>
        <w:overflowPunct/>
        <w:adjustRightInd/>
        <w:textAlignment w:val="auto"/>
      </w:pPr>
    </w:p>
    <w:p w:rsidR="004F6029" w:rsidRPr="009B5C76" w:rsidRDefault="004B1BFD" w:rsidP="00DD0138">
      <w:pPr>
        <w:pStyle w:val="Heading1"/>
        <w:tabs>
          <w:tab w:val="left" w:pos="567"/>
        </w:tabs>
        <w:ind w:left="567" w:hanging="567"/>
      </w:pPr>
      <w:r w:rsidRPr="009B5C76">
        <w:t>ponovno predlaže da se, u okviru revizije tijekom provedbe strategije Europa 2020., u tablicu makroekonomskih pokazatelja uključi i pokazatelj koji se odnosi na stopu ulaganja;</w:t>
      </w:r>
    </w:p>
    <w:p w:rsidR="004F6029" w:rsidRPr="009B5C76" w:rsidRDefault="004F6029" w:rsidP="007135AD">
      <w:pPr>
        <w:overflowPunct/>
        <w:adjustRightInd/>
        <w:textAlignment w:val="auto"/>
      </w:pPr>
    </w:p>
    <w:p w:rsidR="00BB3CA2" w:rsidRPr="009B5C76" w:rsidRDefault="00E43384" w:rsidP="00DD0138">
      <w:pPr>
        <w:pStyle w:val="Heading1"/>
        <w:tabs>
          <w:tab w:val="left" w:pos="567"/>
        </w:tabs>
        <w:ind w:left="567" w:hanging="567"/>
      </w:pPr>
      <w:r w:rsidRPr="009B5C76">
        <w:t>nalaže predsjedniku Europskog odbora regija da ovu izjavu dostavi predsjedniku Europskog vijeća, predsjedniku Europske komisije, predsjedniku Europskog parlamenta, predsjedniku Europskog gospodarskog i socijalnog odbora, luksemburškom predsjedništvu EU-a te predstojećem nizozemskom i slovačkom predsjedništvu.</w:t>
      </w:r>
    </w:p>
    <w:p w:rsidR="00BB3CA2" w:rsidRPr="009B5C76" w:rsidRDefault="00BB3CA2" w:rsidP="007135AD"/>
    <w:p w:rsidR="004B1BFD" w:rsidRPr="009B5C76" w:rsidRDefault="004B1BFD" w:rsidP="007135AD"/>
    <w:p w:rsidR="004B1BFD" w:rsidRPr="009B5C76" w:rsidRDefault="004B1BFD" w:rsidP="007135AD">
      <w:r w:rsidRPr="009B5C76">
        <w:t>Luxembourg, 2. rujna 2015.</w:t>
      </w:r>
    </w:p>
    <w:p w:rsidR="004B1BFD" w:rsidRPr="009B5C76" w:rsidRDefault="004B1BFD" w:rsidP="007135AD"/>
    <w:p w:rsidR="004B1BFD" w:rsidRPr="009B5C76" w:rsidRDefault="004B1BFD" w:rsidP="007135AD">
      <w:r w:rsidRPr="009B5C76">
        <w:t>Predsjednik Europskog odbora regija</w:t>
      </w:r>
    </w:p>
    <w:p w:rsidR="004B1BFD" w:rsidRPr="009B5C76" w:rsidRDefault="004B1BFD" w:rsidP="007135AD"/>
    <w:p w:rsidR="004B1BFD" w:rsidRPr="009B5C76" w:rsidRDefault="004B1BFD" w:rsidP="007135AD"/>
    <w:p w:rsidR="004B1BFD" w:rsidRPr="009B5C76" w:rsidRDefault="004B1BFD" w:rsidP="007135AD"/>
    <w:p w:rsidR="004B1BFD" w:rsidRPr="009B5C76" w:rsidRDefault="004B1BFD" w:rsidP="007135AD"/>
    <w:p w:rsidR="004B1BFD" w:rsidRPr="009B5C76" w:rsidRDefault="004B1BFD" w:rsidP="007135AD">
      <w:r w:rsidRPr="009B5C76">
        <w:t>Markku Markkula</w:t>
      </w:r>
    </w:p>
    <w:p w:rsidR="00BB3CA2" w:rsidRPr="009B5C76" w:rsidRDefault="00BB3CA2" w:rsidP="00274A42">
      <w:pPr>
        <w:jc w:val="center"/>
      </w:pPr>
      <w:r w:rsidRPr="009B5C76">
        <w:t>____________</w:t>
      </w:r>
    </w:p>
    <w:sectPr w:rsidR="00BB3CA2" w:rsidRPr="009B5C76" w:rsidSect="00EB42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701" w:left="1440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7C" w:rsidRDefault="0076717C">
      <w:r>
        <w:separator/>
      </w:r>
    </w:p>
  </w:endnote>
  <w:endnote w:type="continuationSeparator" w:id="0">
    <w:p w:rsidR="0076717C" w:rsidRDefault="0076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A2" w:rsidRPr="00EB42B0" w:rsidRDefault="00EB42B0" w:rsidP="00EB42B0">
    <w:pPr>
      <w:pStyle w:val="Footer"/>
    </w:pPr>
    <w:r>
      <w:t xml:space="preserve">COR-2015-04461-00-00-DECL-TRA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9B5C76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9B5C76">
      <w:fldChar w:fldCharType="begin"/>
    </w:r>
    <w:r w:rsidR="009B5C76">
      <w:instrText xml:space="preserve"> NUMPAGES </w:instrText>
    </w:r>
    <w:r w:rsidR="009B5C76">
      <w:fldChar w:fldCharType="separate"/>
    </w:r>
    <w:r w:rsidR="009B5C76">
      <w:rPr>
        <w:noProof/>
      </w:rPr>
      <w:instrText>3</w:instrText>
    </w:r>
    <w:r w:rsidR="009B5C76">
      <w:rPr>
        <w:noProof/>
      </w:rPr>
      <w:fldChar w:fldCharType="end"/>
    </w:r>
    <w:r>
      <w:instrText xml:space="preserve"> </w:instrText>
    </w:r>
    <w:r>
      <w:fldChar w:fldCharType="separate"/>
    </w:r>
    <w:r w:rsidR="009B5C76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D23" w:rsidRPr="00EB42B0" w:rsidRDefault="003A1D23" w:rsidP="00EB42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D23" w:rsidRPr="00EB42B0" w:rsidRDefault="00EB42B0" w:rsidP="00EB42B0">
    <w:pPr>
      <w:pStyle w:val="Footer"/>
    </w:pPr>
    <w:r>
      <w:t xml:space="preserve">COR-2015-04461-00-00-DECL-TRA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9B5C76">
      <w:rPr>
        <w:noProof/>
      </w:rPr>
      <w:t>3</w:t>
    </w:r>
    <w:r>
      <w:fldChar w:fldCharType="end"/>
    </w:r>
    <w:r>
      <w:t>/</w:t>
    </w:r>
    <w:r>
      <w:fldChar w:fldCharType="begin"/>
    </w:r>
    <w:r>
      <w:instrText xml:space="preserve"> = </w:instrText>
    </w:r>
    <w:r w:rsidR="009B5C76">
      <w:fldChar w:fldCharType="begin"/>
    </w:r>
    <w:r w:rsidR="009B5C76">
      <w:instrText xml:space="preserve"> NUMPAGES </w:instrText>
    </w:r>
    <w:r w:rsidR="009B5C76">
      <w:fldChar w:fldCharType="separate"/>
    </w:r>
    <w:r w:rsidR="009B5C76">
      <w:rPr>
        <w:noProof/>
      </w:rPr>
      <w:instrText>3</w:instrText>
    </w:r>
    <w:r w:rsidR="009B5C76">
      <w:rPr>
        <w:noProof/>
      </w:rPr>
      <w:fldChar w:fldCharType="end"/>
    </w:r>
    <w:r>
      <w:instrText xml:space="preserve"> </w:instrText>
    </w:r>
    <w:r>
      <w:fldChar w:fldCharType="separate"/>
    </w:r>
    <w:r w:rsidR="009B5C76">
      <w:rPr>
        <w:noProof/>
      </w:rPr>
      <w:t>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D23" w:rsidRPr="00EB42B0" w:rsidRDefault="003A1D23" w:rsidP="00EB4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7C" w:rsidRDefault="0076717C">
      <w:r>
        <w:separator/>
      </w:r>
    </w:p>
  </w:footnote>
  <w:footnote w:type="continuationSeparator" w:id="0">
    <w:p w:rsidR="0076717C" w:rsidRDefault="0076717C">
      <w:r>
        <w:continuationSeparator/>
      </w:r>
    </w:p>
  </w:footnote>
  <w:footnote w:id="1">
    <w:p w:rsidR="00DF568A" w:rsidRPr="008007F0" w:rsidRDefault="00DF568A" w:rsidP="007C030F">
      <w:pPr>
        <w:pStyle w:val="FootnoteText"/>
        <w:keepLines w:val="0"/>
      </w:pPr>
      <w:r>
        <w:rPr>
          <w:rStyle w:val="FootnoteReference"/>
          <w:rFonts w:eastAsiaTheme="majorEastAsia"/>
        </w:rPr>
        <w:footnoteRef/>
      </w:r>
      <w:r>
        <w:rPr>
          <w:rStyle w:val="FootnoteReference"/>
          <w:rFonts w:eastAsiaTheme="majorEastAsia"/>
        </w:rPr>
        <w:t xml:space="preserve"> </w:t>
      </w:r>
      <w:r>
        <w:tab/>
      </w:r>
      <w:hyperlink r:id="rId1">
        <w:r>
          <w:rPr>
            <w:rStyle w:val="Hyperlink"/>
            <w:rFonts w:eastAsiaTheme="majorEastAsia"/>
            <w:color w:val="auto"/>
          </w:rPr>
          <w:t>http://eur-lex.europa.eu/LexUriServ/LexUriServ.do?uri=OJ:C:2012:102:0006:0010:EN:PDF</w:t>
        </w:r>
      </w:hyperlink>
      <w:r>
        <w:rPr>
          <w:rStyle w:val="Hyperlink"/>
          <w:rFonts w:eastAsiaTheme="majorEastAsia"/>
          <w:color w:val="auto"/>
        </w:rPr>
        <w:t>.</w:t>
      </w:r>
    </w:p>
  </w:footnote>
  <w:footnote w:id="2">
    <w:p w:rsidR="00DF568A" w:rsidRPr="008007F0" w:rsidRDefault="00DF568A">
      <w:pPr>
        <w:pStyle w:val="FootnoteText"/>
        <w:keepLines w:val="0"/>
      </w:pPr>
      <w:r>
        <w:rPr>
          <w:rStyle w:val="FootnoteReference"/>
          <w:rFonts w:eastAsiaTheme="majorEastAsia"/>
        </w:rPr>
        <w:footnoteRef/>
      </w:r>
      <w:r>
        <w:tab/>
      </w:r>
      <w:hyperlink r:id="rId2">
        <w:r>
          <w:rPr>
            <w:rStyle w:val="Hyperlink"/>
            <w:rFonts w:eastAsiaTheme="majorEastAsia"/>
          </w:rPr>
          <w:t xml:space="preserve">http://toad.cor.europa.eu/AgendaDocuments.aspx?pmi=ha5jDW%2bOWSE48DSjocEyvAxo5W7xxLyf8V%2f0yS2nhXg%3d&amp; </w:t>
        </w:r>
        <w:r>
          <w:rPr>
            <w:rStyle w:val="Hyperlink"/>
            <w:rFonts w:eastAsiaTheme="majorEastAsia"/>
          </w:rPr>
          <w:br/>
          <w:t>ViewDoc=true</w:t>
        </w:r>
      </w:hyperlink>
      <w:r>
        <w:rPr>
          <w:rStyle w:val="Hyperlink"/>
          <w:rFonts w:eastAsiaTheme="majorEastAsia"/>
        </w:rPr>
        <w:t>.</w:t>
      </w:r>
    </w:p>
  </w:footnote>
  <w:footnote w:id="3">
    <w:p w:rsidR="00DF568A" w:rsidRPr="008007F0" w:rsidRDefault="00DF568A">
      <w:pPr>
        <w:pStyle w:val="FootnoteText"/>
        <w:keepLines w:val="0"/>
      </w:pPr>
      <w:r>
        <w:rPr>
          <w:rStyle w:val="FootnoteReference"/>
          <w:rFonts w:eastAsiaTheme="majorEastAsia"/>
        </w:rPr>
        <w:footnoteRef/>
      </w:r>
      <w:r>
        <w:rPr>
          <w:rStyle w:val="FootnoteReference"/>
        </w:rPr>
        <w:t xml:space="preserve"> </w:t>
      </w:r>
      <w:r>
        <w:tab/>
        <w:t>Izvješće Upravljačkog odbora OR-ove Platforme za praćenje strategije Europa 2020. (lipanj 2015.).</w:t>
      </w:r>
    </w:p>
  </w:footnote>
  <w:footnote w:id="4">
    <w:p w:rsidR="00DF568A" w:rsidRPr="008007F0" w:rsidRDefault="00DF568A">
      <w:pPr>
        <w:pStyle w:val="FootnoteText"/>
        <w:keepLines w:val="0"/>
      </w:pPr>
      <w:r>
        <w:rPr>
          <w:rStyle w:val="FootnoteReference"/>
          <w:rFonts w:eastAsiaTheme="majorEastAsia"/>
        </w:rPr>
        <w:footnoteRef/>
      </w:r>
      <w:r>
        <w:rPr>
          <w:rStyle w:val="FootnoteReference"/>
        </w:rPr>
        <w:t xml:space="preserve"> </w:t>
      </w:r>
      <w:r>
        <w:tab/>
        <w:t>Izjava Predsjedništva OR-a usvojena 7. ožujka 2014.</w:t>
      </w:r>
    </w:p>
  </w:footnote>
  <w:footnote w:id="5">
    <w:p w:rsidR="00DF568A" w:rsidRPr="008007F0" w:rsidRDefault="00DF568A">
      <w:pPr>
        <w:pStyle w:val="FootnoteText"/>
        <w:keepLines w:val="0"/>
      </w:pPr>
      <w:r>
        <w:rPr>
          <w:rStyle w:val="FootnoteReference"/>
          <w:rFonts w:eastAsiaTheme="majorEastAsia"/>
        </w:rPr>
        <w:footnoteRef/>
      </w:r>
      <w:r>
        <w:rPr>
          <w:rStyle w:val="FootnoteReference"/>
        </w:rPr>
        <w:t xml:space="preserve"> </w:t>
      </w:r>
      <w:r>
        <w:tab/>
        <w:t>Doprinos Upravljačkog odbora OR-ove Platforme za praćenje strategije Europa 2020. (prosinac 2014.).</w:t>
      </w:r>
    </w:p>
  </w:footnote>
  <w:footnote w:id="6">
    <w:p w:rsidR="00DF568A" w:rsidRPr="008007F0" w:rsidRDefault="00DF568A">
      <w:pPr>
        <w:pStyle w:val="FootnoteText"/>
        <w:keepLines w:val="0"/>
      </w:pPr>
      <w:r>
        <w:rPr>
          <w:rStyle w:val="FootnoteReference"/>
          <w:rFonts w:eastAsiaTheme="majorEastAsia"/>
        </w:rPr>
        <w:footnoteRef/>
      </w:r>
      <w:r>
        <w:rPr>
          <w:rStyle w:val="FootnoteReference"/>
        </w:rPr>
        <w:t xml:space="preserve"> </w:t>
      </w:r>
      <w:r>
        <w:tab/>
        <w:t>Europska komisija, Komunikacija o preporukama po državama članicama 2015., COM(2015) 250 final.</w:t>
      </w:r>
    </w:p>
  </w:footnote>
  <w:footnote w:id="7">
    <w:p w:rsidR="00DF568A" w:rsidRPr="008007F0" w:rsidRDefault="00DF568A" w:rsidP="00B01724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rPr>
          <w:rStyle w:val="FootnoteReference"/>
        </w:rPr>
        <w:t xml:space="preserve"> </w:t>
      </w:r>
      <w:r>
        <w:tab/>
        <w:t>Studija OIR/SWECO/t33 za OR o izvedivosti prikaza socijalne dimenzije EMU-a na temelju podataka Eurostata i baze podataka OE</w:t>
      </w:r>
      <w:r w:rsidR="0095519A">
        <w:t>CD-a o regionalnom blagostanju.</w:t>
      </w:r>
    </w:p>
  </w:footnote>
  <w:footnote w:id="8">
    <w:p w:rsidR="00DF568A" w:rsidRPr="008007F0" w:rsidRDefault="00DF568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rPr>
          <w:rStyle w:val="FootnoteReference"/>
        </w:rPr>
        <w:t xml:space="preserve"> </w:t>
      </w:r>
      <w:r>
        <w:tab/>
        <w:t>Dana 26. veljače 2015. objavljeno je samo 27 izvješća za pojedine zemlje; za Grčku nije izrađeno izvješće jer su u to vrijeme trajali pregovori o programu pomoći toj državi.</w:t>
      </w:r>
    </w:p>
  </w:footnote>
  <w:footnote w:id="9">
    <w:p w:rsidR="00DF568A" w:rsidRPr="008007F0" w:rsidRDefault="00DF568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rPr>
          <w:rStyle w:val="FootnoteReference"/>
        </w:rPr>
        <w:t xml:space="preserve"> </w:t>
      </w:r>
      <w:r>
        <w:tab/>
        <w:t>Nacrt za reviziju strategije Europa 2020. Upravljačkog odbora Platforme OR-a za praćenje strategije Europa 2020.</w:t>
      </w:r>
    </w:p>
  </w:footnote>
  <w:footnote w:id="10">
    <w:p w:rsidR="00DF568A" w:rsidRPr="008007F0" w:rsidRDefault="00DF568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rPr>
          <w:rStyle w:val="FootnoteReference"/>
        </w:rPr>
        <w:t xml:space="preserve"> </w:t>
      </w:r>
      <w:r>
        <w:tab/>
        <w:t>Nacrt za reviziju strategije Europa 2020. Upravljačkog odbora Platforme OR-a za praćenje strategije Europa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D23" w:rsidRPr="00EB42B0" w:rsidRDefault="003A1D23" w:rsidP="00EB42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D23" w:rsidRPr="00EB42B0" w:rsidRDefault="003A1D23" w:rsidP="00EB42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D23" w:rsidRPr="00EB42B0" w:rsidRDefault="003A1D23" w:rsidP="00EB42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7C82DE8"/>
    <w:lvl w:ilvl="0">
      <w:start w:val="1"/>
      <w:numFmt w:val="decimal"/>
      <w:pStyle w:val="Heading1"/>
      <w:lvlText w:val="%1."/>
      <w:legacy w:legacy="1" w:legacySpace="0" w:legacyIndent="0"/>
      <w:lvlJc w:val="left"/>
      <w:rPr>
        <w:i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0DE0575"/>
    <w:multiLevelType w:val="hybridMultilevel"/>
    <w:tmpl w:val="18DE418A"/>
    <w:lvl w:ilvl="0" w:tplc="D62C1438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035AA2"/>
    <w:multiLevelType w:val="hybridMultilevel"/>
    <w:tmpl w:val="1F4AC5E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26E62"/>
    <w:multiLevelType w:val="hybridMultilevel"/>
    <w:tmpl w:val="C74AF5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1069AB"/>
    <w:multiLevelType w:val="hybridMultilevel"/>
    <w:tmpl w:val="6E844FDE"/>
    <w:lvl w:ilvl="0" w:tplc="E33E70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A64CDC"/>
    <w:multiLevelType w:val="hybridMultilevel"/>
    <w:tmpl w:val="9C90A8CC"/>
    <w:lvl w:ilvl="0" w:tplc="D62C1438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DB3034"/>
    <w:multiLevelType w:val="hybridMultilevel"/>
    <w:tmpl w:val="039E4590"/>
    <w:lvl w:ilvl="0" w:tplc="2F4CBDF8">
      <w:numFmt w:val="bullet"/>
      <w:lvlText w:val="–"/>
      <w:lvlJc w:val="left"/>
      <w:pPr>
        <w:tabs>
          <w:tab w:val="num" w:pos="540"/>
        </w:tabs>
        <w:ind w:left="540" w:hanging="540"/>
      </w:pPr>
      <w:rPr>
        <w:rFonts w:ascii="Arial" w:eastAsia="PMingLiU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57F92984"/>
    <w:multiLevelType w:val="singleLevel"/>
    <w:tmpl w:val="B4D625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5C101C87"/>
    <w:multiLevelType w:val="hybridMultilevel"/>
    <w:tmpl w:val="2FC6449E"/>
    <w:lvl w:ilvl="0" w:tplc="D62C1438">
      <w:start w:val="1"/>
      <w:numFmt w:val="bullet"/>
      <w:lvlRestart w:val="0"/>
      <w:lvlText w:val="-"/>
      <w:lvlJc w:val="left"/>
      <w:pPr>
        <w:tabs>
          <w:tab w:val="num" w:pos="-720"/>
        </w:tabs>
        <w:ind w:left="-351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noSpaceRaiseLower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07"/>
    <w:rsid w:val="00073EBB"/>
    <w:rsid w:val="000B4591"/>
    <w:rsid w:val="000E191D"/>
    <w:rsid w:val="000E4C12"/>
    <w:rsid w:val="000F3D3C"/>
    <w:rsid w:val="000F67DE"/>
    <w:rsid w:val="00152CB7"/>
    <w:rsid w:val="0015692A"/>
    <w:rsid w:val="00164B3A"/>
    <w:rsid w:val="001B3F99"/>
    <w:rsid w:val="001C654A"/>
    <w:rsid w:val="001E38F4"/>
    <w:rsid w:val="00203C1A"/>
    <w:rsid w:val="002531BE"/>
    <w:rsid w:val="00274A42"/>
    <w:rsid w:val="00326B13"/>
    <w:rsid w:val="003452C1"/>
    <w:rsid w:val="00347713"/>
    <w:rsid w:val="00375CD1"/>
    <w:rsid w:val="003A1D23"/>
    <w:rsid w:val="003A48EB"/>
    <w:rsid w:val="003B63CC"/>
    <w:rsid w:val="003C7518"/>
    <w:rsid w:val="003D06F8"/>
    <w:rsid w:val="003D1EDC"/>
    <w:rsid w:val="00415040"/>
    <w:rsid w:val="00423D75"/>
    <w:rsid w:val="00437FCB"/>
    <w:rsid w:val="004554D5"/>
    <w:rsid w:val="00486418"/>
    <w:rsid w:val="00487F6C"/>
    <w:rsid w:val="004A410C"/>
    <w:rsid w:val="004B0A27"/>
    <w:rsid w:val="004B1BFD"/>
    <w:rsid w:val="004B373F"/>
    <w:rsid w:val="004C6F38"/>
    <w:rsid w:val="004D192E"/>
    <w:rsid w:val="004F18DC"/>
    <w:rsid w:val="004F6029"/>
    <w:rsid w:val="00512B1A"/>
    <w:rsid w:val="005268A3"/>
    <w:rsid w:val="0055427D"/>
    <w:rsid w:val="00575403"/>
    <w:rsid w:val="005851CA"/>
    <w:rsid w:val="005924D1"/>
    <w:rsid w:val="005A75FF"/>
    <w:rsid w:val="005B6CFE"/>
    <w:rsid w:val="005C670B"/>
    <w:rsid w:val="005D2857"/>
    <w:rsid w:val="00623F10"/>
    <w:rsid w:val="0064132B"/>
    <w:rsid w:val="00662F58"/>
    <w:rsid w:val="00665655"/>
    <w:rsid w:val="006B68E0"/>
    <w:rsid w:val="006C0AD8"/>
    <w:rsid w:val="006D5F99"/>
    <w:rsid w:val="006F791F"/>
    <w:rsid w:val="007135AD"/>
    <w:rsid w:val="00732A02"/>
    <w:rsid w:val="007476DC"/>
    <w:rsid w:val="00764959"/>
    <w:rsid w:val="0076717C"/>
    <w:rsid w:val="00770E6D"/>
    <w:rsid w:val="00776CBE"/>
    <w:rsid w:val="00787973"/>
    <w:rsid w:val="007A2DDF"/>
    <w:rsid w:val="007C030F"/>
    <w:rsid w:val="007D0978"/>
    <w:rsid w:val="007F1CC2"/>
    <w:rsid w:val="008007F0"/>
    <w:rsid w:val="00814B5C"/>
    <w:rsid w:val="00837F15"/>
    <w:rsid w:val="00857D13"/>
    <w:rsid w:val="0088307F"/>
    <w:rsid w:val="00894250"/>
    <w:rsid w:val="008D3BE0"/>
    <w:rsid w:val="008E289B"/>
    <w:rsid w:val="00904D6D"/>
    <w:rsid w:val="0094084F"/>
    <w:rsid w:val="009535A0"/>
    <w:rsid w:val="0095519A"/>
    <w:rsid w:val="00966E30"/>
    <w:rsid w:val="00985E57"/>
    <w:rsid w:val="009B0703"/>
    <w:rsid w:val="009B5C76"/>
    <w:rsid w:val="009B6B9B"/>
    <w:rsid w:val="009C007E"/>
    <w:rsid w:val="009C7972"/>
    <w:rsid w:val="009D3923"/>
    <w:rsid w:val="00A03056"/>
    <w:rsid w:val="00A129CE"/>
    <w:rsid w:val="00A13976"/>
    <w:rsid w:val="00A6507B"/>
    <w:rsid w:val="00A7717F"/>
    <w:rsid w:val="00A80401"/>
    <w:rsid w:val="00A9293E"/>
    <w:rsid w:val="00AA3D07"/>
    <w:rsid w:val="00AA6C1F"/>
    <w:rsid w:val="00AB2471"/>
    <w:rsid w:val="00AB56E9"/>
    <w:rsid w:val="00AB65B3"/>
    <w:rsid w:val="00AF1F38"/>
    <w:rsid w:val="00AF7920"/>
    <w:rsid w:val="00B01724"/>
    <w:rsid w:val="00B12E68"/>
    <w:rsid w:val="00B14131"/>
    <w:rsid w:val="00B14F03"/>
    <w:rsid w:val="00B20057"/>
    <w:rsid w:val="00B66785"/>
    <w:rsid w:val="00B70319"/>
    <w:rsid w:val="00B763B5"/>
    <w:rsid w:val="00BB29EC"/>
    <w:rsid w:val="00BB3CA2"/>
    <w:rsid w:val="00BC7716"/>
    <w:rsid w:val="00BD3AEF"/>
    <w:rsid w:val="00C13BA6"/>
    <w:rsid w:val="00C155EC"/>
    <w:rsid w:val="00D40D41"/>
    <w:rsid w:val="00D72D5E"/>
    <w:rsid w:val="00DB4E2E"/>
    <w:rsid w:val="00DD0138"/>
    <w:rsid w:val="00DF202F"/>
    <w:rsid w:val="00DF568A"/>
    <w:rsid w:val="00E12F7E"/>
    <w:rsid w:val="00E31F2D"/>
    <w:rsid w:val="00E41AAD"/>
    <w:rsid w:val="00E43384"/>
    <w:rsid w:val="00E663AE"/>
    <w:rsid w:val="00E87A7D"/>
    <w:rsid w:val="00E9327F"/>
    <w:rsid w:val="00EB42B0"/>
    <w:rsid w:val="00EE3E1A"/>
    <w:rsid w:val="00F1322C"/>
    <w:rsid w:val="00F227C2"/>
    <w:rsid w:val="00F6672D"/>
    <w:rsid w:val="00FB06D2"/>
    <w:rsid w:val="00FB6FD2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hr-H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973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787973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787973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787973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87973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787973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87973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787973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87973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787973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7A9B"/>
    <w:rPr>
      <w:kern w:val="28"/>
      <w:sz w:val="22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D77A9B"/>
    <w:rPr>
      <w:sz w:val="22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D77A9B"/>
    <w:rPr>
      <w:sz w:val="22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D77A9B"/>
    <w:rPr>
      <w:sz w:val="22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D77A9B"/>
    <w:rPr>
      <w:sz w:val="22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D77A9B"/>
    <w:rPr>
      <w:sz w:val="22"/>
      <w:lang w:val="hr-HR" w:eastAsia="hr-HR"/>
    </w:rPr>
  </w:style>
  <w:style w:type="character" w:customStyle="1" w:styleId="Heading7Char">
    <w:name w:val="Heading 7 Char"/>
    <w:basedOn w:val="DefaultParagraphFont"/>
    <w:link w:val="Heading7"/>
    <w:rsid w:val="00D77A9B"/>
    <w:rPr>
      <w:sz w:val="22"/>
      <w:lang w:val="hr-HR" w:eastAsia="hr-HR"/>
    </w:rPr>
  </w:style>
  <w:style w:type="character" w:customStyle="1" w:styleId="Heading8Char">
    <w:name w:val="Heading 8 Char"/>
    <w:basedOn w:val="DefaultParagraphFont"/>
    <w:link w:val="Heading8"/>
    <w:rsid w:val="00D77A9B"/>
    <w:rPr>
      <w:sz w:val="22"/>
      <w:lang w:val="hr-HR" w:eastAsia="hr-HR"/>
    </w:rPr>
  </w:style>
  <w:style w:type="character" w:customStyle="1" w:styleId="Heading9Char">
    <w:name w:val="Heading 9 Char"/>
    <w:basedOn w:val="DefaultParagraphFont"/>
    <w:link w:val="Heading9"/>
    <w:rsid w:val="00D77A9B"/>
    <w:rPr>
      <w:sz w:val="22"/>
      <w:lang w:val="hr-HR" w:eastAsia="hr-HR"/>
    </w:rPr>
  </w:style>
  <w:style w:type="paragraph" w:styleId="Footer">
    <w:name w:val="footer"/>
    <w:basedOn w:val="Normal"/>
    <w:link w:val="FooterChar"/>
    <w:rsid w:val="00787973"/>
  </w:style>
  <w:style w:type="character" w:customStyle="1" w:styleId="FooterChar">
    <w:name w:val="Footer Char"/>
    <w:basedOn w:val="DefaultParagraphFont"/>
    <w:link w:val="Footer"/>
    <w:rsid w:val="00D77A9B"/>
    <w:rPr>
      <w:sz w:val="22"/>
      <w:lang w:val="hr-HR" w:eastAsia="hr-HR"/>
    </w:rPr>
  </w:style>
  <w:style w:type="paragraph" w:styleId="FootnoteText">
    <w:name w:val="footnote text"/>
    <w:basedOn w:val="Normal"/>
    <w:link w:val="FootnoteTextChar"/>
    <w:rsid w:val="00787973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77A9B"/>
    <w:rPr>
      <w:sz w:val="16"/>
      <w:lang w:val="hr-HR" w:eastAsia="hr-HR"/>
    </w:rPr>
  </w:style>
  <w:style w:type="paragraph" w:styleId="Header">
    <w:name w:val="header"/>
    <w:basedOn w:val="Normal"/>
    <w:link w:val="HeaderChar"/>
    <w:rsid w:val="00787973"/>
  </w:style>
  <w:style w:type="character" w:customStyle="1" w:styleId="HeaderChar">
    <w:name w:val="Header Char"/>
    <w:basedOn w:val="DefaultParagraphFont"/>
    <w:link w:val="Header"/>
    <w:rsid w:val="00D77A9B"/>
    <w:rPr>
      <w:sz w:val="22"/>
      <w:lang w:val="hr-HR" w:eastAsia="hr-HR"/>
    </w:rPr>
  </w:style>
  <w:style w:type="character" w:styleId="FootnoteReference">
    <w:name w:val="footnote reference"/>
    <w:basedOn w:val="DefaultParagraphFont"/>
    <w:semiHidden/>
    <w:rsid w:val="00787973"/>
    <w:rPr>
      <w:sz w:val="24"/>
      <w:vertAlign w:val="superscript"/>
    </w:rPr>
  </w:style>
  <w:style w:type="character" w:styleId="Hyperlink">
    <w:name w:val="Hyperlink"/>
    <w:rsid w:val="00DF568A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rsid w:val="00E4338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F667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6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hr-H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973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787973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787973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787973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87973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787973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87973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787973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87973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787973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7A9B"/>
    <w:rPr>
      <w:kern w:val="28"/>
      <w:sz w:val="22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D77A9B"/>
    <w:rPr>
      <w:sz w:val="22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D77A9B"/>
    <w:rPr>
      <w:sz w:val="22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D77A9B"/>
    <w:rPr>
      <w:sz w:val="22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D77A9B"/>
    <w:rPr>
      <w:sz w:val="22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D77A9B"/>
    <w:rPr>
      <w:sz w:val="22"/>
      <w:lang w:val="hr-HR" w:eastAsia="hr-HR"/>
    </w:rPr>
  </w:style>
  <w:style w:type="character" w:customStyle="1" w:styleId="Heading7Char">
    <w:name w:val="Heading 7 Char"/>
    <w:basedOn w:val="DefaultParagraphFont"/>
    <w:link w:val="Heading7"/>
    <w:rsid w:val="00D77A9B"/>
    <w:rPr>
      <w:sz w:val="22"/>
      <w:lang w:val="hr-HR" w:eastAsia="hr-HR"/>
    </w:rPr>
  </w:style>
  <w:style w:type="character" w:customStyle="1" w:styleId="Heading8Char">
    <w:name w:val="Heading 8 Char"/>
    <w:basedOn w:val="DefaultParagraphFont"/>
    <w:link w:val="Heading8"/>
    <w:rsid w:val="00D77A9B"/>
    <w:rPr>
      <w:sz w:val="22"/>
      <w:lang w:val="hr-HR" w:eastAsia="hr-HR"/>
    </w:rPr>
  </w:style>
  <w:style w:type="character" w:customStyle="1" w:styleId="Heading9Char">
    <w:name w:val="Heading 9 Char"/>
    <w:basedOn w:val="DefaultParagraphFont"/>
    <w:link w:val="Heading9"/>
    <w:rsid w:val="00D77A9B"/>
    <w:rPr>
      <w:sz w:val="22"/>
      <w:lang w:val="hr-HR" w:eastAsia="hr-HR"/>
    </w:rPr>
  </w:style>
  <w:style w:type="paragraph" w:styleId="Footer">
    <w:name w:val="footer"/>
    <w:basedOn w:val="Normal"/>
    <w:link w:val="FooterChar"/>
    <w:rsid w:val="00787973"/>
  </w:style>
  <w:style w:type="character" w:customStyle="1" w:styleId="FooterChar">
    <w:name w:val="Footer Char"/>
    <w:basedOn w:val="DefaultParagraphFont"/>
    <w:link w:val="Footer"/>
    <w:rsid w:val="00D77A9B"/>
    <w:rPr>
      <w:sz w:val="22"/>
      <w:lang w:val="hr-HR" w:eastAsia="hr-HR"/>
    </w:rPr>
  </w:style>
  <w:style w:type="paragraph" w:styleId="FootnoteText">
    <w:name w:val="footnote text"/>
    <w:basedOn w:val="Normal"/>
    <w:link w:val="FootnoteTextChar"/>
    <w:rsid w:val="00787973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77A9B"/>
    <w:rPr>
      <w:sz w:val="16"/>
      <w:lang w:val="hr-HR" w:eastAsia="hr-HR"/>
    </w:rPr>
  </w:style>
  <w:style w:type="paragraph" w:styleId="Header">
    <w:name w:val="header"/>
    <w:basedOn w:val="Normal"/>
    <w:link w:val="HeaderChar"/>
    <w:rsid w:val="00787973"/>
  </w:style>
  <w:style w:type="character" w:customStyle="1" w:styleId="HeaderChar">
    <w:name w:val="Header Char"/>
    <w:basedOn w:val="DefaultParagraphFont"/>
    <w:link w:val="Header"/>
    <w:rsid w:val="00D77A9B"/>
    <w:rPr>
      <w:sz w:val="22"/>
      <w:lang w:val="hr-HR" w:eastAsia="hr-HR"/>
    </w:rPr>
  </w:style>
  <w:style w:type="character" w:styleId="FootnoteReference">
    <w:name w:val="footnote reference"/>
    <w:basedOn w:val="DefaultParagraphFont"/>
    <w:semiHidden/>
    <w:rsid w:val="00787973"/>
    <w:rPr>
      <w:sz w:val="24"/>
      <w:vertAlign w:val="superscript"/>
    </w:rPr>
  </w:style>
  <w:style w:type="character" w:styleId="Hyperlink">
    <w:name w:val="Hyperlink"/>
    <w:rsid w:val="00DF568A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rsid w:val="00E4338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F667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6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toad.cor.europa.eu/AgendaDocuments.aspx?pmi=ha5jDW+OWSE48DSjocEyvAxo5W7xxLyf8V/0yS2nhXg=&amp;ViewDoc=true" TargetMode="External"/><Relationship Id="rId1" Type="http://schemas.openxmlformats.org/officeDocument/2006/relationships/hyperlink" Target="http://eur-lex.europa.eu/LexUriServ/LexUriServ.do?uri=OJ:C:2012:102:0006:0010:EN: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sis\dfs\softwlib\word2010\Templates\Global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d70e30-93ef-45b4-8939-ee55f442fbe8">32DPXCYX3S74-8-881</_dlc_DocId>
    <_dlc_DocIdUrl xmlns="bed70e30-93ef-45b4-8939-ee55f442fbe8">
      <Url>http://dm/CoR/2015/_layouts/DocIdRedir.aspx?ID=32DPXCYX3S74-8-881</Url>
      <Description>32DPXCYX3S74-8-881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DECL</TermName>
          <TermId xmlns="http://schemas.microsoft.com/office/infopath/2007/PartnerControls">3e2492ed-4ef9-4eb0-bb74-05f60f74f0a3</TermId>
        </TermInfo>
      </Terms>
    </DocumentType_0>
    <MeetingNumber xmlns="54ce4e8c-70ab-4ab4-9e3e-7385597c8f08" xsi:nil="true"/>
    <Procedure xmlns="bed70e30-93ef-45b4-8939-ee55f442fbe8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bed70e30-93ef-45b4-8939-ee55f442fbe8">2015-09-09T12:00:00+00:00</ProductionDate>
    <FicheYear xmlns="bed70e30-93ef-45b4-8939-ee55f442fbe8">2015</FicheYear>
    <DocumentNumber xmlns="54ce4e8c-70ab-4ab4-9e3e-7385597c8f08">4461</DocumentNumber>
    <DocumentVersion xmlns="bed70e30-93ef-45b4-8939-ee55f442fbe8">0</DocumentVersion>
    <DossierNumber xmlns="bed70e30-93ef-45b4-8939-ee55f442fbe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bed70e30-93ef-45b4-8939-ee55f442fbe8">2015-09-02T12:00:00+00:00</MeetingDate>
    <TaxCatchAll xmlns="bed70e30-93ef-45b4-8939-ee55f442fbe8">
      <Value>35</Value>
      <Value>34</Value>
      <Value>33</Value>
      <Value>32</Value>
      <Value>31</Value>
      <Value>30</Value>
      <Value>29</Value>
      <Value>63</Value>
      <Value>27</Value>
      <Value>26</Value>
      <Value>25</Value>
      <Value>24</Value>
      <Value>23</Value>
      <Value>22</Value>
      <Value>21</Value>
      <Value>20</Value>
      <Value>19</Value>
      <Value>18</Value>
      <Value>17</Value>
      <Value>16</Value>
      <Value>15</Value>
      <Value>10</Value>
      <Value>7</Value>
      <Value>96</Value>
      <Value>53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bed70e30-93ef-45b4-8939-ee55f442fbe8" xsi:nil="true"/>
    <FicheNumber xmlns="bed70e30-93ef-45b4-8939-ee55f442fbe8">8451</FicheNumber>
    <DocumentYear xmlns="bed70e30-93ef-45b4-8939-ee55f442fbe8">2015</DocumentYear>
    <DocumentPart xmlns="bed70e30-93ef-45b4-8939-ee55f442fbe8">0</DocumentPart>
    <AdoptionDate xmlns="bed70e30-93ef-45b4-8939-ee55f442fbe8" xsi:nil="true"/>
    <RequestingService xmlns="bed70e30-93ef-45b4-8939-ee55f442fbe8">Organes statutaires et réunions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BUR CDR</TermName>
          <TermId xmlns="http://schemas.microsoft.com/office/infopath/2007/PartnerControls">c746c8a5-35bb-487b-9ea7-3f1412c8eddb</TermId>
        </TermInfo>
      </Terms>
    </MeetingName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</Terms>
    </AvailableTranslations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00ACB3A31870A141B3A5990D964A61BB" ma:contentTypeVersion="7" ma:contentTypeDescription="Defines the documents for Document Manager V2" ma:contentTypeScope="" ma:versionID="657c7b2cb132c47f6257c6d94fe05348">
  <xsd:schema xmlns:xsd="http://www.w3.org/2001/XMLSchema" xmlns:xs="http://www.w3.org/2001/XMLSchema" xmlns:p="http://schemas.microsoft.com/office/2006/metadata/properties" xmlns:ns2="bed70e30-93ef-45b4-8939-ee55f442fbe8" xmlns:ns3="http://schemas.microsoft.com/sharepoint/v3/fields" xmlns:ns4="54ce4e8c-70ab-4ab4-9e3e-7385597c8f08" targetNamespace="http://schemas.microsoft.com/office/2006/metadata/properties" ma:root="true" ma:fieldsID="3b85bad5e743a8eb063ec1229892a984" ns2:_="" ns3:_="" ns4:_="">
    <xsd:import namespace="bed70e30-93ef-45b4-8939-ee55f442fbe8"/>
    <xsd:import namespace="http://schemas.microsoft.com/sharepoint/v3/fields"/>
    <xsd:import namespace="54ce4e8c-70ab-4ab4-9e3e-7385597c8f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4:DocumentNumber" minOccurs="0"/>
                <xsd:element ref="ns2:Rapporteur" minOccurs="0"/>
                <xsd:element ref="ns2:RequestingService" minOccurs="0"/>
                <xsd:element ref="ns2:DocumentPart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Version" minOccurs="0"/>
                <xsd:element ref="ns3:DossierName_0" minOccurs="0"/>
                <xsd:element ref="ns2:FicheYear" minOccurs="0"/>
                <xsd:element ref="ns3:DocumentType_0" minOccurs="0"/>
                <xsd:element ref="ns3:DocumentStatus_0" minOccurs="0"/>
                <xsd:element ref="ns3:AvailableTranslations_0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0e30-93ef-45b4-8939-ee55f442fb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5" nillable="true" ma:displayName="Rapporteur" ma:internalName="Rapporteur" ma:readOnly="false">
      <xsd:simpleType>
        <xsd:restriction base="dms:Text"/>
      </xsd:simpleType>
    </xsd:element>
    <xsd:element name="RequestingService" ma:index="16" nillable="true" ma:displayName="Requesting Service" ma:internalName="RequestingService" ma:readOnly="false">
      <xsd:simpleType>
        <xsd:restriction base="dms:Text"/>
      </xsd:simpleType>
    </xsd:element>
    <xsd:element name="DocumentPart" ma:index="17" nillable="true" ma:displayName="Document Part" ma:decimals="0" ma:internalName="DocumentPart" ma:readOnly="false">
      <xsd:simpleType>
        <xsd:restriction base="dms:Unknown"/>
      </xsd:simpleType>
    </xsd:element>
    <xsd:element name="AdoptionDate" ma:index="18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9" nillable="true" ma:displayName="Dossier Number" ma:decimals="0" ma:internalName="DossierNumber" ma:readOnly="false">
      <xsd:simpleType>
        <xsd:restriction base="dms:Unknown"/>
      </xsd:simpleType>
    </xsd:element>
    <xsd:element name="TaxCatchAll" ma:index="21" nillable="true" ma:displayName="Taxonomy Catch All Column" ma:hidden="true" ma:list="{6d94abe9-dbc9-423a-838f-6dc472c12929}" ma:internalName="TaxCatchAll" ma:showField="CatchAllData" ma:web="bed70e30-93ef-45b4-8939-ee55f442f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6d94abe9-dbc9-423a-838f-6dc472c12929}" ma:internalName="TaxCatchAllLabel" ma:readOnly="true" ma:showField="CatchAllDataLabel" ma:web="bed70e30-93ef-45b4-8939-ee55f442f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4" nillable="true" ma:displayName="Fiche Number" ma:decimals="0" ma:internalName="FicheNumber" ma:readOnly="false">
      <xsd:simpleType>
        <xsd:restriction base="dms:Unknown"/>
      </xsd:simpleType>
    </xsd:element>
    <xsd:element name="Procedure" ma:index="25" nillable="true" ma:displayName="Procedure" ma:internalName="Procedure" ma:readOnly="false">
      <xsd:simpleType>
        <xsd:restriction base="dms:Text"/>
      </xsd:simpleType>
    </xsd:element>
    <xsd:element name="DocumentVersion" ma:index="26" nillable="true" ma:displayName="Document Version" ma:decimals="0" ma:internalName="DocumentVersion" ma:readOnly="false">
      <xsd:simpleType>
        <xsd:restriction base="dms:Unknown"/>
      </xsd:simpleType>
    </xsd:element>
    <xsd:element name="FicheYear" ma:index="29" nillable="true" ma:displayName="Fiche Year" ma:decimals="0" ma:internalName="FicheYear" ma:readOnly="false">
      <xsd:simpleType>
        <xsd:restriction base="dms:Unknown"/>
      </xsd:simpleType>
    </xsd:element>
    <xsd:element name="DocumentYear" ma:index="42" ma:displayName="Document Year" ma:decimals="0" ma:internalName="DocumentYear" ma:readOnly="false">
      <xsd:simpleType>
        <xsd:restriction base="dms:Unknown"/>
      </xsd:simpleType>
    </xsd:element>
    <xsd:element name="MeetingDate" ma:index="45" nillable="true" ma:displayName="Meeting Date" ma:format="DateOnly" ma:internalName="Meeting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20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7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0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4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6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8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40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3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e4e8c-70ab-4ab4-9e3e-7385597c8f08" elementFormDefault="qualified">
    <xsd:import namespace="http://schemas.microsoft.com/office/2006/documentManagement/types"/>
    <xsd:import namespace="http://schemas.microsoft.com/office/infopath/2007/PartnerControls"/>
    <xsd:element name="DocumentNumber" ma:index="14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6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92D5-4618-4DC4-B85A-754F368014D6}"/>
</file>

<file path=customXml/itemProps2.xml><?xml version="1.0" encoding="utf-8"?>
<ds:datastoreItem xmlns:ds="http://schemas.openxmlformats.org/officeDocument/2006/customXml" ds:itemID="{883428BF-EEBB-4F5C-94EC-8600F662961C}"/>
</file>

<file path=customXml/itemProps3.xml><?xml version="1.0" encoding="utf-8"?>
<ds:datastoreItem xmlns:ds="http://schemas.openxmlformats.org/officeDocument/2006/customXml" ds:itemID="{C19D04EF-C3DD-4EC5-A916-BEFD9631B088}"/>
</file>

<file path=customXml/itemProps4.xml><?xml version="1.0" encoding="utf-8"?>
<ds:datastoreItem xmlns:ds="http://schemas.openxmlformats.org/officeDocument/2006/customXml" ds:itemID="{9B9F2EBF-C12D-45E7-BC30-FAB05DE9A1E2}"/>
</file>

<file path=customXml/itemProps5.xml><?xml version="1.0" encoding="utf-8"?>
<ds:datastoreItem xmlns:ds="http://schemas.openxmlformats.org/officeDocument/2006/customXml" ds:itemID="{45E2848E-3ED7-4206-9345-1D078CEC1CE4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3</TotalTime>
  <Pages>3</Pages>
  <Words>1134</Words>
  <Characters>6922</Characters>
  <Application>Microsoft Office Word</Application>
  <DocSecurity>0</DocSecurity>
  <Lines>164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 08 - Declaration on the implementation of the 2015 European Semester and in view of the 2016 Annual Growth Survey</vt:lpstr>
    </vt:vector>
  </TitlesOfParts>
  <Company>CESE-CdR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Deklaracija o provedbi Europskog semestra za 2015. godinu</dc:title>
  <dc:subject/>
  <dc:creator/>
  <cp:keywords>COR-2015-04461-00-00-DECL-TRA-HR</cp:keywords>
  <dc:description>Rapporteur: -_x000d_
Original language: EN_x000d_
Date of document: 09/09/2015_x000d_
Date of meeting: 02/09/2015_x000d_
External documents: -_x000d_
Administrator responsible: Bouquerel Caroline, telephone: + 2 546 9019_x000d_
_x000d_
Abstract:</dc:description>
  <cp:lastModifiedBy>Mario Bojanic</cp:lastModifiedBy>
  <cp:revision>5</cp:revision>
  <cp:lastPrinted>2015-09-03T07:16:00Z</cp:lastPrinted>
  <dcterms:created xsi:type="dcterms:W3CDTF">2015-09-09T12:02:00Z</dcterms:created>
  <dcterms:modified xsi:type="dcterms:W3CDTF">2015-09-09T12:06:00Z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CheckSum">
    <vt:lpwstr>36093_C8322_P106_L25</vt:lpwstr>
  </property>
  <property fmtid="{D5CDD505-2E9C-101B-9397-08002B2CF9AE}" pid="3" name="Pref_formatted">
    <vt:bool>true</vt:bool>
  </property>
  <property fmtid="{D5CDD505-2E9C-101B-9397-08002B2CF9AE}" pid="4" name="Pref_Date">
    <vt:lpwstr>07/09/2015, 07/09/2015, 04/08/2015, 03/08/2015, 03/08/2015, 03/08/2015, 30/07/2015, 30/07/2015, 30/07/2015</vt:lpwstr>
  </property>
  <property fmtid="{D5CDD505-2E9C-101B-9397-08002B2CF9AE}" pid="5" name="Pref_Time">
    <vt:lpwstr>14:40:48, 13:15:36, 13:53:44, 14:11:08, 13:53:28, 12:27:07, 11:51:14, 10:57:23, 10:55:21</vt:lpwstr>
  </property>
  <property fmtid="{D5CDD505-2E9C-101B-9397-08002B2CF9AE}" pid="6" name="Pref_User">
    <vt:lpwstr>mkop, ssex, enied, enied, htoo, htoo, amett, enied, hnic</vt:lpwstr>
  </property>
  <property fmtid="{D5CDD505-2E9C-101B-9397-08002B2CF9AE}" pid="7" name="Pref_FileName">
    <vt:lpwstr>COR-2015-04461-00-00-DECL-TRA-EN-CRR.docx, COR-2015-04461-00-00-DECL-CRR-EN.docx, COR-2015-03931-04-02-NB-ORI.docx, COR-2015-03931-04-01-NB-TRA-EN-CRR.docx, COR-2015-03931-04-01-NB-CRR-EN.docx, COR-2015-03931-04-01-NB-ORI.docx, COR-2015-03931-04-00-NB-ORI</vt:lpwstr>
  </property>
  <property fmtid="{D5CDD505-2E9C-101B-9397-08002B2CF9AE}" pid="8" name="ContentTypeId">
    <vt:lpwstr>0x010100EA97B91038054C99906057A708A1480A0000ACB3A31870A141B3A5990D964A61BB</vt:lpwstr>
  </property>
  <property fmtid="{D5CDD505-2E9C-101B-9397-08002B2CF9AE}" pid="9" name="_dlc_DocIdItemGuid">
    <vt:lpwstr>093e7198-34ae-4ed1-a2a2-17e573cba7aa</vt:lpwstr>
  </property>
  <property fmtid="{D5CDD505-2E9C-101B-9397-08002B2CF9AE}" pid="10" name="DocumentType_0">
    <vt:lpwstr>DECL|3e2492ed-4ef9-4eb0-bb74-05f60f74f0a3</vt:lpwstr>
  </property>
  <property fmtid="{D5CDD505-2E9C-101B-9397-08002B2CF9AE}" pid="11" name="AvailableTranslations">
    <vt:lpwstr>32;#LV|46f7e311-5d9f-4663-b433-18aeccb7ace7;#21;#SL|98a412ae-eb01-49e9-ae3d-585a81724cfc;#10;#EN|f2175f21-25d7-44a3-96da-d6a61b075e1b;#31;#HR|2f555653-ed1a-4fe6-8362-9082d95989e5;#16;#PL|1e03da61-4678-4e07-b136-b5024ca9197b;#15;#IT|0774613c-01ed-4e5d-a25d-11d2388de825;#7;#FR|d2afafd3-4c81-4f60-8f52-ee33f2f54ff3;#20;#ES|e7a6b05b-ae16-40c8-add9-68b64b03aeba;#22;#DA|5d49c027-8956-412b-aa16-e85a0f96ad0e;#4;#DE|f6b31e5a-26fa-4935-b661-318e46daf27e;#25;#CS|72f9705b-0217-4fd3-bea2-cbc7ed80e26e;#30;#ET|ff6c3f4c-b02c-4c3c-ab07-2c37995a7a0a;#23;#BG|1a1b3951-7821-4e6a-85f5-5673fc08bd2c;#29;#SK|46d9fce0-ef79-4f71-b89b-cd6aa82426b8;#35;#HU|6b229040-c589-4408-b4c1-4285663d20a8;#26;#NL|55c6556c-b4f4-441d-9acf-c498d4f838bd;#19;#EL|6d4f4d51-af9b-4650-94b4-4276bee85c91;#33;#MT|7df99101-6854-4a26-b53a-b88c0da02c26;#27;#FI|87606a43-d45f-42d6-b8c9-e1a3457db5b7;#24;#RO|feb747a2-64cd-4299-af12-4833ddc30497;#18;#PT|50ccc04a-eadd-42ae-a0cb-acaf45f812ba;#34;#LT|a7ff5ce7-6123-4f68-865a-a57c31810414;#17;#SV|c2ed69e7-a339-43d7-8f22-d93680a92aa0</vt:lpwstr>
  </property>
  <property fmtid="{D5CDD505-2E9C-101B-9397-08002B2CF9AE}" pid="12" name="DossierName_0">
    <vt:lpwstr/>
  </property>
  <property fmtid="{D5CDD505-2E9C-101B-9397-08002B2CF9AE}" pid="13" name="DocumentSource_0">
    <vt:lpwstr>CoR|cb2d75ef-4a7d-4393-b797-49ed6298a5ea</vt:lpwstr>
  </property>
  <property fmtid="{D5CDD505-2E9C-101B-9397-08002B2CF9AE}" pid="14" name="FicheYear">
    <vt:i4>2015</vt:i4>
  </property>
  <property fmtid="{D5CDD505-2E9C-101B-9397-08002B2CF9AE}" pid="15" name="DocumentNumber">
    <vt:i4>4461</vt:i4>
  </property>
  <property fmtid="{D5CDD505-2E9C-101B-9397-08002B2CF9AE}" pid="16" name="DocumentVersion">
    <vt:i4>0</vt:i4>
  </property>
  <property fmtid="{D5CDD505-2E9C-101B-9397-08002B2CF9AE}" pid="17" name="DocumentType">
    <vt:lpwstr>96;#DECL|3e2492ed-4ef9-4eb0-bb74-05f60f74f0a3</vt:lpwstr>
  </property>
  <property fmtid="{D5CDD505-2E9C-101B-9397-08002B2CF9AE}" pid="18" name="DocumentStatus">
    <vt:lpwstr>2;#TRA|150d2a88-1431-44e6-a8ca-0bb753ab8672</vt:lpwstr>
  </property>
  <property fmtid="{D5CDD505-2E9C-101B-9397-08002B2CF9AE}" pid="19" name="DossierName">
    <vt:lpwstr/>
  </property>
  <property fmtid="{D5CDD505-2E9C-101B-9397-08002B2CF9AE}" pid="20" name="DocumentSource">
    <vt:lpwstr>1;#CoR|cb2d75ef-4a7d-4393-b797-49ed6298a5ea</vt:lpwstr>
  </property>
  <property fmtid="{D5CDD505-2E9C-101B-9397-08002B2CF9AE}" pid="21" name="DocumentPart">
    <vt:i4>0</vt:i4>
  </property>
  <property fmtid="{D5CDD505-2E9C-101B-9397-08002B2CF9AE}" pid="22" name="RequestingService">
    <vt:lpwstr>Organes statutaires et réunions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>BUR CDR|c746c8a5-35bb-487b-9ea7-3f1412c8eddb</vt:lpwstr>
  </property>
  <property fmtid="{D5CDD505-2E9C-101B-9397-08002B2CF9AE}" pid="26" name="OriginalLanguage">
    <vt:lpwstr>10;#EN|f2175f21-25d7-44a3-96da-d6a61b075e1b</vt:lpwstr>
  </property>
  <property fmtid="{D5CDD505-2E9C-101B-9397-08002B2CF9AE}" pid="27" name="MeetingName">
    <vt:lpwstr>53;#BUR CDR|c746c8a5-35bb-487b-9ea7-3f1412c8eddb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MeetingDate">
    <vt:filetime>2015-09-02T12:00:00Z</vt:filetime>
  </property>
  <property fmtid="{D5CDD505-2E9C-101B-9397-08002B2CF9AE}" pid="31" name="TaxCatchAll">
    <vt:lpwstr>35;#HU|6b229040-c589-4408-b4c1-4285663d20a8;#33;#MT|7df99101-6854-4a26-b53a-b88c0da02c26;#32;#LV|46f7e311-5d9f-4663-b433-18aeccb7ace7;#29;#SK|46d9fce0-ef79-4f71-b89b-cd6aa82426b8;#63;#Final|ea5e6674-7b27-4bac-b091-73adbb394efe;#26;#NL|55c6556c-b4f4-441d-9acf-c498d4f838bd;#25;#CS|72f9705b-0217-4fd3-bea2-cbc7ed80e26e;#22;#DA|5d49c027-8956-412b-aa16-e85a0f96ad0e;#20;#ES|e7a6b05b-ae16-40c8-add9-68b64b03aeba;#19;#EL|6d4f4d51-af9b-4650-94b4-4276bee85c91;#17;#SV|c2ed69e7-a339-43d7-8f22-d93680a92aa0;#16;#PL|1e03da61-4678-4e07-b136-b5024ca9197b;#15;#IT|0774613c-01ed-4e5d-a25d-11d2388de825;#10;#EN|f2175f21-25d7-44a3-96da-d6a61b075e1b;#96;#DECL|3e2492ed-4ef9-4eb0-bb74-05f60f74f0a3;#53;#BUR CDR|c746c8a5-35bb-487b-9ea7-3f1412c8eddb;#5;#Unrestricted|826e22d7-d029-4ec0-a450-0c28ff673572;#4;#DE|f6b31e5a-26fa-4935-b661-318e46daf27e;#2;#TRA|150d2a88-1431-44e6-a8ca-0bb753ab8672;#1;#CoR|cb2d75ef-4a7d-4393-b797-49ed6298a5ea</vt:lpwstr>
  </property>
  <property fmtid="{D5CDD505-2E9C-101B-9397-08002B2CF9AE}" pid="32" name="AvailableTranslations_0">
    <vt:lpwstr>LV|46f7e311-5d9f-4663-b433-18aeccb7ace7;EN|f2175f21-25d7-44a3-96da-d6a61b075e1b;PL|1e03da61-4678-4e07-b136-b5024ca9197b;IT|0774613c-01ed-4e5d-a25d-11d2388de825;ES|e7a6b05b-ae16-40c8-add9-68b64b03aeba;DA|5d49c027-8956-412b-aa16-e85a0f96ad0e;DE|f6b31e5a-26fa-4935-b661-318e46daf27e;CS|72f9705b-0217-4fd3-bea2-cbc7ed80e26e;SK|46d9fce0-ef79-4f71-b89b-cd6aa82426b8;HU|6b229040-c589-4408-b4c1-4285663d20a8;NL|55c6556c-b4f4-441d-9acf-c498d4f838bd;EL|6d4f4d51-af9b-4650-94b4-4276bee85c91;MT|7df99101-6854-4a26-b53a-b88c0da02c26;SV|c2ed69e7-a339-43d7-8f22-d93680a92aa0</vt:lpwstr>
  </property>
  <property fmtid="{D5CDD505-2E9C-101B-9397-08002B2CF9AE}" pid="33" name="VersionStatus">
    <vt:lpwstr>63;#Final|ea5e6674-7b27-4bac-b091-73adbb394efe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8451</vt:i4>
  </property>
  <property fmtid="{D5CDD505-2E9C-101B-9397-08002B2CF9AE}" pid="36" name="DocumentYear">
    <vt:i4>2015</vt:i4>
  </property>
  <property fmtid="{D5CDD505-2E9C-101B-9397-08002B2CF9AE}" pid="37" name="DocumentLanguage">
    <vt:lpwstr>31;#HR|2f555653-ed1a-4fe6-8362-9082d95989e5</vt:lpwstr>
  </property>
  <property fmtid="{D5CDD505-2E9C-101B-9397-08002B2CF9AE}" pid="38" name="DocumentLanguage_0">
    <vt:lpwstr>EN|f2175f21-25d7-44a3-96da-d6a61b075e1b</vt:lpwstr>
  </property>
</Properties>
</file>