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2B50" w:rsidRDefault="00272B50">
      <w:bookmarkStart w:id="0" w:name="_GoBack"/>
      <w:bookmarkEnd w:id="0"/>
    </w:p>
    <w:p w:rsidR="00E82453" w:rsidRDefault="0065159B">
      <w:pPr>
        <w:rPr>
          <w:sz w:val="28"/>
          <w:szCs w:val="28"/>
        </w:rPr>
      </w:pPr>
      <w:r>
        <w:rPr>
          <w:sz w:val="28"/>
          <w:szCs w:val="28"/>
        </w:rPr>
        <w:t>Referentni okvir ugovora</w:t>
      </w:r>
    </w:p>
    <w:p w:rsidR="00E82453" w:rsidRDefault="00C05278">
      <w:pPr>
        <w:rPr>
          <w:sz w:val="28"/>
          <w:szCs w:val="28"/>
        </w:rPr>
      </w:pPr>
      <w:r>
        <w:rPr>
          <w:sz w:val="28"/>
          <w:szCs w:val="28"/>
        </w:rPr>
        <w:t>Stručnjaka</w:t>
      </w:r>
      <w:r w:rsidR="00E82453">
        <w:rPr>
          <w:sz w:val="28"/>
          <w:szCs w:val="28"/>
        </w:rPr>
        <w:t xml:space="preserve"> koji će prov</w:t>
      </w:r>
      <w:r>
        <w:rPr>
          <w:sz w:val="28"/>
          <w:szCs w:val="28"/>
        </w:rPr>
        <w:t>esti s</w:t>
      </w:r>
      <w:r w:rsidR="009219CF">
        <w:rPr>
          <w:sz w:val="28"/>
          <w:szCs w:val="28"/>
        </w:rPr>
        <w:t>e</w:t>
      </w:r>
      <w:r>
        <w:rPr>
          <w:sz w:val="28"/>
          <w:szCs w:val="28"/>
        </w:rPr>
        <w:t>kundarno istraživanje postojećih informacija</w:t>
      </w:r>
      <w:r w:rsidR="00E82453">
        <w:rPr>
          <w:sz w:val="28"/>
          <w:szCs w:val="28"/>
        </w:rPr>
        <w:t xml:space="preserve"> (</w:t>
      </w:r>
      <w:r>
        <w:rPr>
          <w:i/>
          <w:sz w:val="28"/>
          <w:szCs w:val="28"/>
        </w:rPr>
        <w:t>desk review</w:t>
      </w:r>
      <w:r w:rsidR="00E82453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u području </w:t>
      </w:r>
      <w:r w:rsidR="00E82453">
        <w:rPr>
          <w:sz w:val="28"/>
          <w:szCs w:val="28"/>
        </w:rPr>
        <w:t>javne politike, te pravnog i administrativnog okvira koji regulira ulogu i obveze gradova u ostvarivanju jednakosti</w:t>
      </w:r>
    </w:p>
    <w:p w:rsidR="00E82453" w:rsidRDefault="00E82453"/>
    <w:p w:rsidR="00A23570" w:rsidRPr="00A23570" w:rsidRDefault="00A23570" w:rsidP="00A23570">
      <w:pPr>
        <w:spacing w:after="0" w:line="240" w:lineRule="auto"/>
        <w:jc w:val="both"/>
        <w:rPr>
          <w:rFonts w:eastAsia="Calibri" w:cs="Arial"/>
          <w:b/>
        </w:rPr>
      </w:pPr>
      <w:r w:rsidRPr="00A23570">
        <w:rPr>
          <w:rFonts w:eastAsia="Calibri" w:cs="Arial"/>
          <w:b/>
        </w:rPr>
        <w:t>Opće informacije o projektu</w:t>
      </w:r>
    </w:p>
    <w:p w:rsidR="00A23570" w:rsidRPr="00A23570" w:rsidRDefault="00A23570" w:rsidP="00A23570">
      <w:pPr>
        <w:spacing w:after="0" w:line="240" w:lineRule="auto"/>
        <w:jc w:val="both"/>
        <w:rPr>
          <w:rFonts w:eastAsia="Calibri" w:cs="Arial"/>
        </w:rPr>
      </w:pPr>
    </w:p>
    <w:p w:rsidR="00A23570" w:rsidRPr="00A23570" w:rsidRDefault="00A23570" w:rsidP="00A23570">
      <w:r>
        <w:t xml:space="preserve">Projekt, </w:t>
      </w:r>
      <w:r w:rsidR="00C05278">
        <w:t>koji</w:t>
      </w:r>
      <w:r>
        <w:t xml:space="preserve"> financira</w:t>
      </w:r>
      <w:r w:rsidRPr="00A23570">
        <w:t xml:space="preserve"> EU u okviru programa </w:t>
      </w:r>
      <w:r w:rsidR="00E06214">
        <w:t>„</w:t>
      </w:r>
      <w:r w:rsidRPr="00A23570">
        <w:t>Prava, jednakost i građanstvo</w:t>
      </w:r>
      <w:r w:rsidR="00E06214">
        <w:t>“</w:t>
      </w:r>
      <w:r w:rsidRPr="00A23570">
        <w:t xml:space="preserve"> (Rights, Equ</w:t>
      </w:r>
      <w:r>
        <w:t>ality, and Citizenship 2016) provodi</w:t>
      </w:r>
      <w:r w:rsidRPr="00A23570">
        <w:t xml:space="preserve"> Hrvatski pravni centar </w:t>
      </w:r>
      <w:r w:rsidR="00C05278">
        <w:t xml:space="preserve">(HPC) </w:t>
      </w:r>
      <w:r w:rsidRPr="00A23570">
        <w:t xml:space="preserve">u partnerstvu s Udrugom gradova u Republici Hrvatskoj. </w:t>
      </w:r>
    </w:p>
    <w:p w:rsidR="00A23570" w:rsidRDefault="00A23570" w:rsidP="00A23570">
      <w:pPr>
        <w:spacing w:after="0" w:line="240" w:lineRule="auto"/>
        <w:jc w:val="both"/>
      </w:pPr>
      <w:r w:rsidRPr="00A23570">
        <w:t>U Hrvatskoj postoji vrlo slaba svijest o ulozi gradova u provođenju anti-diskriminacijske politike, odnosno, šire shvaćeno, u unaprjeđenju jednakosti među građanima. Nacionalna anti-diskriminacijska politika jedva da tu ulogu prepoznaje, osim u području</w:t>
      </w:r>
      <w:r w:rsidR="00C05278">
        <w:t xml:space="preserve"> izvještavanja, a ni normativni</w:t>
      </w:r>
      <w:r w:rsidRPr="00A23570">
        <w:t xml:space="preserve"> ni financijski okvir nije ništa napredniji u njenom promicanju. S druge strane, gradske politike, odluke i ponašanje u ovom području uvelike određuju mogućnost za ostvarivanje jednakosti građana upravo tamo gdje oni žive, u svojim lokalnim zajednicama.</w:t>
      </w:r>
    </w:p>
    <w:p w:rsidR="00621690" w:rsidRDefault="00621690" w:rsidP="00A23570">
      <w:pPr>
        <w:spacing w:after="0" w:line="240" w:lineRule="auto"/>
        <w:jc w:val="both"/>
      </w:pPr>
    </w:p>
    <w:p w:rsidR="00621690" w:rsidRDefault="00621690" w:rsidP="00621690">
      <w:r>
        <w:t>Ovim projektom želimo ostvariti sljedeće ciljeve:</w:t>
      </w:r>
    </w:p>
    <w:p w:rsidR="00621690" w:rsidRDefault="00621690" w:rsidP="00621690">
      <w:pPr>
        <w:spacing w:after="0"/>
      </w:pPr>
      <w:r>
        <w:t>1. Definirati ulogu i odgovornost gradova za primjenu anti-diskriminacijske politike;</w:t>
      </w:r>
    </w:p>
    <w:p w:rsidR="00621690" w:rsidRDefault="00621690" w:rsidP="00621690">
      <w:pPr>
        <w:spacing w:after="0"/>
      </w:pPr>
      <w:r>
        <w:t>2. Identificirati postojeće primjere dobre prakse definiranja i provedbe programa i politika usmjerenih ostvarenju jednakosti na gradskoj razini;</w:t>
      </w:r>
    </w:p>
    <w:p w:rsidR="00621690" w:rsidRDefault="00621690" w:rsidP="00621690">
      <w:pPr>
        <w:spacing w:after="0"/>
      </w:pPr>
      <w:r>
        <w:t>3. Izraditi alate koje gradske uprave mogu koristiti radi unaprjeđenja i promicanja jednakosti; i</w:t>
      </w:r>
    </w:p>
    <w:p w:rsidR="00A23570" w:rsidRPr="00A23570" w:rsidRDefault="00621690" w:rsidP="00621690">
      <w:r>
        <w:t>4. Podići svijest i unaprijediti motivacijske faktore za trajno unaprjeđenje politika i praksi usmjerenih ostvarenju jednakosti u gradovima.</w:t>
      </w:r>
    </w:p>
    <w:p w:rsidR="00A23570" w:rsidRPr="00A23570" w:rsidRDefault="00A23570" w:rsidP="00A23570">
      <w:r w:rsidRPr="00A23570">
        <w:t>Glavne projektne aktivnosti su sljedeće:</w:t>
      </w:r>
    </w:p>
    <w:p w:rsidR="00A23570" w:rsidRPr="00A23570" w:rsidRDefault="00A23570" w:rsidP="00A23570">
      <w:r w:rsidRPr="00A23570">
        <w:t>1. Istraživanje postojećeg stanja prakse. Ovo će istraživanje obuhvatiti tri elementa: (a) pregled okvira javnih politika, pravnog i administrativnog okvira koji regulira ulogu gradova u ostvarenju jednakosti; (b) anketu kojom ćemo istražiti postojeće politike, programe i praksu na razini gradova; te (c) izradu studija primjera najbolje prakse.</w:t>
      </w:r>
    </w:p>
    <w:p w:rsidR="00A23570" w:rsidRPr="00A23570" w:rsidRDefault="00A23570" w:rsidP="00A23570">
      <w:r w:rsidRPr="00A23570">
        <w:t xml:space="preserve">2. Na temelju rezultata ovog istraživanja, kao i pregleda postojećih međunarodnih inicijativa i prakse, izradit ćemo priručnik inicijative Gradovi za jednakost. Priručnik će biti namijenjen gradovima koji </w:t>
      </w:r>
      <w:r w:rsidRPr="00A23570">
        <w:lastRenderedPageBreak/>
        <w:t>žele unaprijediti vlastitu praksu u ovom području, i pružit će im praktične upute i primjere o tome kako to mogu postići u okviru svojih funkcija poslodavca, pružatelja javnih usluga, te regulatora i donositelja javnih politika. Priručnik će ujedno poslužiti i podizanju svijesti o važnosti i ulozi gradova u ovom području, te o potencijalnim prednostima njihovog proaktivnog pristupa jednakosti.</w:t>
      </w:r>
    </w:p>
    <w:p w:rsidR="00A23570" w:rsidRPr="00A23570" w:rsidRDefault="00A23570" w:rsidP="00A23570">
      <w:r w:rsidRPr="00A23570">
        <w:t>3. Razvoj Indeksa Gradova za jednakost omogućit će vrednovanje i rangiranje gradova u Hrvatskoj na temelju njihove prakse u ovom području. Sudjelovanje u Indeksu će biti dobrovoljno, što znači da je namijenjen promicanju izvrsnosti u ovom području: naime, vjerujemo da će u njemu sudjelovati oni gradovi koji sami sebe smatraju predvodnicima. Rangiranje provedeno primjenom Indeksa rezultirat će i godišnjom nagradom, moguće po tematskim kategorijama, ili po veličini gradova.</w:t>
      </w:r>
    </w:p>
    <w:p w:rsidR="00621690" w:rsidRPr="00621690" w:rsidRDefault="00621690" w:rsidP="00621690">
      <w:pPr>
        <w:spacing w:after="0" w:line="240" w:lineRule="auto"/>
        <w:jc w:val="both"/>
        <w:rPr>
          <w:rFonts w:eastAsia="Calibri" w:cs="Arial"/>
        </w:rPr>
      </w:pPr>
    </w:p>
    <w:p w:rsidR="00A23570" w:rsidRDefault="00A23570">
      <w:pPr>
        <w:rPr>
          <w:u w:val="single"/>
        </w:rPr>
      </w:pPr>
      <w:r>
        <w:rPr>
          <w:u w:val="single"/>
        </w:rPr>
        <w:t>Predmet</w:t>
      </w:r>
      <w:r w:rsidR="00C05278">
        <w:rPr>
          <w:u w:val="single"/>
        </w:rPr>
        <w:t xml:space="preserve"> javnog poziva</w:t>
      </w:r>
      <w:r w:rsidRPr="00A23570">
        <w:rPr>
          <w:u w:val="single"/>
        </w:rPr>
        <w:t>:</w:t>
      </w:r>
    </w:p>
    <w:p w:rsidR="00621690" w:rsidRDefault="00C05278">
      <w:r>
        <w:t>Ovaj se poziv</w:t>
      </w:r>
      <w:r w:rsidR="00D62139">
        <w:t xml:space="preserve"> odnosi na prvu skupinu projektnih aktivnosti: i</w:t>
      </w:r>
      <w:r w:rsidR="00D62139" w:rsidRPr="00A23570">
        <w:t>straž</w:t>
      </w:r>
      <w:r w:rsidR="00D62139">
        <w:t xml:space="preserve">ivanje postojećeg stanja prakse, odnosno na njegov prvi element, </w:t>
      </w:r>
      <w:r w:rsidR="00D62139" w:rsidRPr="00A23570">
        <w:t>pregled okvira javnih politika, pravnog i admin</w:t>
      </w:r>
      <w:r>
        <w:t>istrativnog okvira koji uređuje</w:t>
      </w:r>
      <w:r w:rsidR="00D62139" w:rsidRPr="00A23570">
        <w:t xml:space="preserve"> ulogu </w:t>
      </w:r>
      <w:r w:rsidR="00D62139">
        <w:t>gradova u ostvarenju jednakosti.</w:t>
      </w:r>
    </w:p>
    <w:p w:rsidR="000E21F7" w:rsidRDefault="00631BF1">
      <w:r>
        <w:t xml:space="preserve">Ova će analiza poslužiti za sve daljnje aktivnosti u projektu, kako istraživačke, tako i one usmjerene </w:t>
      </w:r>
      <w:r w:rsidR="00C05278">
        <w:t>na izradu</w:t>
      </w:r>
      <w:r>
        <w:t xml:space="preserve"> instrumenata namijenjenih unaprijeđenju prakse gradova u ovom kontekstu. Stoga ona </w:t>
      </w:r>
      <w:r w:rsidR="00C05278">
        <w:t>treba biti praktič</w:t>
      </w:r>
      <w:r>
        <w:t>n</w:t>
      </w:r>
      <w:r w:rsidR="00C05278">
        <w:t>a i konkret</w:t>
      </w:r>
      <w:r>
        <w:t>n</w:t>
      </w:r>
      <w:r w:rsidR="00C05278">
        <w:t>a</w:t>
      </w:r>
      <w:r>
        <w:t>, te zasnovan</w:t>
      </w:r>
      <w:r w:rsidR="00C05278">
        <w:t>a</w:t>
      </w:r>
      <w:r>
        <w:t xml:space="preserve"> na objektivnim pokazateljima.</w:t>
      </w:r>
      <w:r w:rsidR="0085744D">
        <w:t xml:space="preserve"> </w:t>
      </w:r>
      <w:r w:rsidR="000E21F7">
        <w:t>To je osobito važno radi kasnije izrade anketnog upitnika za gradove o njihovim postojećim praksama, te indikatora uspješnosti koji će biti sastavni dio indeksa „Gradova za jednakost“.</w:t>
      </w:r>
    </w:p>
    <w:p w:rsidR="00631BF1" w:rsidRDefault="0085744D">
      <w:r>
        <w:t>Napominjemo da u kontekstu jednakosti zaš</w:t>
      </w:r>
      <w:r w:rsidR="00C05278">
        <w:t xml:space="preserve">tićene osobine obuhvaćaju </w:t>
      </w:r>
      <w:r>
        <w:t>sljedeće: rasno i etničko podrijetlo, boju kože, spol, jezik, vjeroispovjest, politička ili druga uvjerenja, nacionalno ili socijalno podrijetlo, imovinski status, članstvo u sindikatu, obrazovanje, društveni položaj, obiteljski ili bračni status, dob, zdravstve</w:t>
      </w:r>
      <w:r w:rsidR="00C05278">
        <w:t>no stanje, invaliditet, genetsko nasljeđe, te rodni identitet, rodno izražavanje ili spolnu orijentaciju</w:t>
      </w:r>
      <w:r>
        <w:t>.</w:t>
      </w:r>
    </w:p>
    <w:p w:rsidR="0085744D" w:rsidRDefault="0085744D">
      <w:r>
        <w:t>Istraživanje treba pokriti sve funkcije koje gradovi imaju, uključujući sljedeće: (a) grada kao demokratske institucije; (b) regulatora; (c) poslodavca; (d) davatelja usluga; te (e) ugovaratelja.</w:t>
      </w:r>
    </w:p>
    <w:p w:rsidR="00631BF1" w:rsidRDefault="00AA1062">
      <w:r>
        <w:t xml:space="preserve">Rezultati </w:t>
      </w:r>
      <w:r>
        <w:rPr>
          <w:i/>
        </w:rPr>
        <w:t xml:space="preserve">desk review-a </w:t>
      </w:r>
      <w:r>
        <w:t xml:space="preserve"> će biti sljedeći:</w:t>
      </w:r>
    </w:p>
    <w:p w:rsidR="0008515A" w:rsidRDefault="00AA1062">
      <w:r>
        <w:t>1. Popis i pojašnjenje (opis sadržaja</w:t>
      </w:r>
      <w:r w:rsidR="000E21F7">
        <w:t xml:space="preserve"> i reference na relevantne dokumente</w:t>
      </w:r>
      <w:r>
        <w:t>) svih zakonskih obveza gradova kao jedinica lokalne samouprave u osiguranju i promicanju jednakosti i zaštite od diskriminacije</w:t>
      </w:r>
      <w:r w:rsidR="0065159B">
        <w:t>, u svim njihovim gore navedenim funkcijama</w:t>
      </w:r>
      <w:r>
        <w:t xml:space="preserve">. </w:t>
      </w:r>
    </w:p>
    <w:p w:rsidR="00A20639" w:rsidRDefault="00AA1062">
      <w:r>
        <w:lastRenderedPageBreak/>
        <w:t>2. Popis i pojašnjenje svih obveza gradova u osiguranju i promicanju jednakosti, a koje proizlaze iz javnih politika, odnosno nacionalnih i lokalnih strategija i akcijskih planova usmjerenih postizanju ciljeva povezanih s jednakošću.</w:t>
      </w:r>
      <w:r w:rsidR="0085744D">
        <w:t xml:space="preserve"> Relevantni dokumenti uključuju: </w:t>
      </w:r>
    </w:p>
    <w:p w:rsidR="00A20639" w:rsidRDefault="0085744D">
      <w:r>
        <w:t xml:space="preserve">(a) </w:t>
      </w:r>
      <w:r w:rsidR="00A20639">
        <w:t xml:space="preserve">Nacionalnu strategiju za borbu protiv diskriminacije i pripadajući Akcijski plan; </w:t>
      </w:r>
    </w:p>
    <w:p w:rsidR="00A20639" w:rsidRDefault="000E21F7">
      <w:r>
        <w:t>(b) S</w:t>
      </w:r>
      <w:r w:rsidR="00A20639">
        <w:t>trategije i akcijske planove namijenjene postizanju jednakosti skupina koje su osobito izložene diskriminaciji (npr. Romi, žene, mladi, osobe s invaliditetom); te</w:t>
      </w:r>
    </w:p>
    <w:p w:rsidR="00AA1062" w:rsidRDefault="00A20639">
      <w:r>
        <w:t xml:space="preserve">(c) </w:t>
      </w:r>
      <w:r w:rsidR="000E21F7">
        <w:t>S</w:t>
      </w:r>
      <w:r>
        <w:t>ve ostale relevantne dokumente koji propisuju ulogu gradova u postizanju ciljeva jednakosti.</w:t>
      </w:r>
    </w:p>
    <w:p w:rsidR="00A20639" w:rsidRDefault="00A20639">
      <w:r>
        <w:t xml:space="preserve">3. Popis indikatora / podataka </w:t>
      </w:r>
      <w:r w:rsidR="00A12BB7">
        <w:t>koje gradovi imaju obvezu prikupljati i o njima iz</w:t>
      </w:r>
      <w:r>
        <w:t>vještavati po bilo kojoj osnovi povezanoj s postizanjem ciljeva jednakosti i/ili poštivanja ljudskih prava</w:t>
      </w:r>
      <w:r w:rsidR="00A12BB7">
        <w:t>.</w:t>
      </w:r>
    </w:p>
    <w:p w:rsidR="00A12BB7" w:rsidRDefault="00A12BB7">
      <w:r>
        <w:t>Izvještaj se dostavlja u elektronskom obliku, na hrvatskom.</w:t>
      </w:r>
      <w:r w:rsidR="009F29C7">
        <w:t xml:space="preserve"> Izvještaj se podnosi u sljedećem fomatu: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9F29C7" w:rsidTr="009F29C7">
        <w:tc>
          <w:tcPr>
            <w:tcW w:w="2265" w:type="dxa"/>
          </w:tcPr>
          <w:p w:rsidR="009F29C7" w:rsidRDefault="009F29C7">
            <w:r>
              <w:t>Obveza</w:t>
            </w:r>
          </w:p>
        </w:tc>
        <w:tc>
          <w:tcPr>
            <w:tcW w:w="2265" w:type="dxa"/>
          </w:tcPr>
          <w:p w:rsidR="009F29C7" w:rsidRDefault="009F29C7">
            <w:r>
              <w:t>Izvor obveze</w:t>
            </w:r>
          </w:p>
        </w:tc>
        <w:tc>
          <w:tcPr>
            <w:tcW w:w="2266" w:type="dxa"/>
          </w:tcPr>
          <w:p w:rsidR="009F29C7" w:rsidRDefault="009F29C7">
            <w:r>
              <w:t>Pojašnjenje</w:t>
            </w:r>
          </w:p>
        </w:tc>
        <w:tc>
          <w:tcPr>
            <w:tcW w:w="2266" w:type="dxa"/>
          </w:tcPr>
          <w:p w:rsidR="009F29C7" w:rsidRDefault="009F29C7">
            <w:r>
              <w:t>Pokazatelji</w:t>
            </w:r>
          </w:p>
        </w:tc>
      </w:tr>
      <w:tr w:rsidR="009F29C7" w:rsidTr="009F29C7">
        <w:tc>
          <w:tcPr>
            <w:tcW w:w="2265" w:type="dxa"/>
          </w:tcPr>
          <w:p w:rsidR="009F29C7" w:rsidRDefault="009F29C7"/>
        </w:tc>
        <w:tc>
          <w:tcPr>
            <w:tcW w:w="2265" w:type="dxa"/>
          </w:tcPr>
          <w:p w:rsidR="009F29C7" w:rsidRDefault="009F29C7">
            <w:r>
              <w:t>Zakonski tekst ili tekst drugog dokumenta iz kojeg proizlazi obveza</w:t>
            </w:r>
            <w:r w:rsidR="00D47138">
              <w:t xml:space="preserve"> u području osiguranja jednakosti od strane gradova.</w:t>
            </w:r>
          </w:p>
        </w:tc>
        <w:tc>
          <w:tcPr>
            <w:tcW w:w="2266" w:type="dxa"/>
          </w:tcPr>
          <w:p w:rsidR="009F29C7" w:rsidRDefault="009F29C7">
            <w:r>
              <w:t>Interpretacija obveze; postoje</w:t>
            </w:r>
            <w:r w:rsidR="00D47138">
              <w:t xml:space="preserve"> li neki posebni implementacijski dokumenti, sudska praksa ili istraživanja koja mogu bolje osvijetliti tu obvezu?</w:t>
            </w:r>
          </w:p>
        </w:tc>
        <w:tc>
          <w:tcPr>
            <w:tcW w:w="2266" w:type="dxa"/>
          </w:tcPr>
          <w:p w:rsidR="009F29C7" w:rsidRDefault="00D47138">
            <w:r>
              <w:t>Koje podatke moraju gradovi prikupljati da bi dokazali ispunjavanje te obveze? Koga izvještavaju o ispunjenju obveze?</w:t>
            </w:r>
          </w:p>
        </w:tc>
      </w:tr>
      <w:tr w:rsidR="009F29C7" w:rsidTr="009F29C7">
        <w:tc>
          <w:tcPr>
            <w:tcW w:w="2265" w:type="dxa"/>
          </w:tcPr>
          <w:p w:rsidR="009F29C7" w:rsidRDefault="00D47138">
            <w:r>
              <w:t>…</w:t>
            </w:r>
          </w:p>
        </w:tc>
        <w:tc>
          <w:tcPr>
            <w:tcW w:w="2265" w:type="dxa"/>
          </w:tcPr>
          <w:p w:rsidR="009F29C7" w:rsidRDefault="00D47138">
            <w:r>
              <w:t>…</w:t>
            </w:r>
          </w:p>
        </w:tc>
        <w:tc>
          <w:tcPr>
            <w:tcW w:w="2266" w:type="dxa"/>
          </w:tcPr>
          <w:p w:rsidR="009F29C7" w:rsidRDefault="00D47138">
            <w:r>
              <w:t>…</w:t>
            </w:r>
          </w:p>
        </w:tc>
        <w:tc>
          <w:tcPr>
            <w:tcW w:w="2266" w:type="dxa"/>
          </w:tcPr>
          <w:p w:rsidR="009F29C7" w:rsidRDefault="00D47138">
            <w:r>
              <w:t>…</w:t>
            </w:r>
          </w:p>
        </w:tc>
      </w:tr>
    </w:tbl>
    <w:p w:rsidR="009F29C7" w:rsidRDefault="009F29C7"/>
    <w:p w:rsidR="00DC79C0" w:rsidRDefault="00DC79C0">
      <w:r>
        <w:rPr>
          <w:u w:val="single"/>
        </w:rPr>
        <w:t>Potrebne kvalifikacije:</w:t>
      </w:r>
    </w:p>
    <w:p w:rsidR="00DC79C0" w:rsidRDefault="00F348CF">
      <w:r>
        <w:t xml:space="preserve">Za potrebe izrade ove analize bit će odabrana </w:t>
      </w:r>
      <w:r w:rsidR="00BB611E">
        <w:t xml:space="preserve">najviše </w:t>
      </w:r>
      <w:r>
        <w:t>dva stručnjaka ili stručnjakinje sljedećih profila:</w:t>
      </w:r>
    </w:p>
    <w:p w:rsidR="00F348CF" w:rsidRDefault="00F348CF" w:rsidP="00DF4CAD">
      <w:pPr>
        <w:spacing w:after="0"/>
      </w:pPr>
      <w:r>
        <w:t>1. Stručnjak ili s</w:t>
      </w:r>
      <w:r w:rsidR="00BB611E">
        <w:t>tručnjakinja za lokalnu</w:t>
      </w:r>
      <w:r>
        <w:t xml:space="preserve"> samoupravu; te</w:t>
      </w:r>
    </w:p>
    <w:p w:rsidR="00F348CF" w:rsidRDefault="00F348CF">
      <w:r>
        <w:t>2. Stručnjak ili stručnjakinja</w:t>
      </w:r>
      <w:r w:rsidR="00BB611E">
        <w:t xml:space="preserve"> za ljudska prava i suzbijanje</w:t>
      </w:r>
      <w:r>
        <w:t xml:space="preserve"> diskriminacije.</w:t>
      </w:r>
    </w:p>
    <w:p w:rsidR="00DC79C0" w:rsidRPr="00F348CF" w:rsidRDefault="00F348CF">
      <w:r>
        <w:t>Odabrani stručnjaci će raditi zajedno. Podjela zadataka u okviru ovog referentnog okvira će biti dogovorena s voditeljicom projekta, kako bi bila osigurana sveobuhvatnost izvještaja i najbolja ravnoteža u korištenju pojedinačne ekspertize.</w:t>
      </w:r>
    </w:p>
    <w:p w:rsidR="00A12BB7" w:rsidRDefault="00A12BB7">
      <w:r>
        <w:rPr>
          <w:u w:val="single"/>
        </w:rPr>
        <w:t>Postupak:</w:t>
      </w:r>
    </w:p>
    <w:p w:rsidR="00BC2EDF" w:rsidRDefault="00BC2EDF">
      <w:r>
        <w:t>Po završetku selekcijs</w:t>
      </w:r>
      <w:r w:rsidR="00BB611E">
        <w:t>kog postupka, odabrani stručnjaci</w:t>
      </w:r>
      <w:r>
        <w:t xml:space="preserve"> ili stručnjakinje će se sastati s voditeljicom projekta i savjetnikom za lokalnu </w:t>
      </w:r>
      <w:r w:rsidR="00923221">
        <w:t>samo</w:t>
      </w:r>
      <w:r>
        <w:t>upravu</w:t>
      </w:r>
      <w:r w:rsidR="00923221">
        <w:t xml:space="preserve"> u projektu</w:t>
      </w:r>
      <w:r>
        <w:t xml:space="preserve">. Ovaj će sastanak poslužiti za daljnje pojašnjenje elemenata ovog referentnog okvira i očekivanih osobina analize koja će biti isporučena </w:t>
      </w:r>
      <w:r w:rsidR="00BB611E">
        <w:lastRenderedPageBreak/>
        <w:t>na temelju</w:t>
      </w:r>
      <w:r>
        <w:t xml:space="preserve"> ugovora. Tom će priliko</w:t>
      </w:r>
      <w:r w:rsidR="00BB611E">
        <w:t>m</w:t>
      </w:r>
      <w:r>
        <w:t xml:space="preserve"> biti dogovoren i raspored isporuke pojedinačnih dijelova analize, te kontrolnih točaka tijekom provedbe ugovora. </w:t>
      </w:r>
    </w:p>
    <w:p w:rsidR="00A12BB7" w:rsidRDefault="00BC2EDF">
      <w:r>
        <w:t xml:space="preserve">Voditeljica projekta će se barem dva puta </w:t>
      </w:r>
      <w:r w:rsidR="00BB611E">
        <w:t>tijekom provedbe ugovora konzultirati</w:t>
      </w:r>
      <w:r>
        <w:t xml:space="preserve"> (osobno ili elektronskim putem) sa stručnjacima i/ili stručnjakinjama, radi osiguranja točnosti i kvalitete isporučene analize: u roku dva tjedna od početka rada, te po isporuci nacrta teksta analize. Bilješke o tim sastancima će poslužiti za </w:t>
      </w:r>
      <w:r w:rsidR="00C17970">
        <w:t xml:space="preserve">identifikaciju i provedbu mogućih korekcija, te za ukupnu </w:t>
      </w:r>
      <w:r>
        <w:t xml:space="preserve">ocjenu uspješnosti </w:t>
      </w:r>
      <w:r w:rsidR="00C17970">
        <w:t>obavljenog posla od strane stručnjaka ili stručnjakinja.</w:t>
      </w:r>
    </w:p>
    <w:p w:rsidR="00C17970" w:rsidRDefault="00923221">
      <w:r>
        <w:t>Analiza će se smatrati prihvaćenom</w:t>
      </w:r>
      <w:r w:rsidR="00C17970">
        <w:t xml:space="preserve"> kada voditeljica projekta</w:t>
      </w:r>
      <w:r w:rsidR="00FE7623">
        <w:t>, po</w:t>
      </w:r>
      <w:r w:rsidR="00BB611E">
        <w:t xml:space="preserve"> konzultaciji s odborom projekta,</w:t>
      </w:r>
      <w:r w:rsidR="00C17970">
        <w:t xml:space="preserve"> prihvati tekst izvještaja / analize.</w:t>
      </w:r>
    </w:p>
    <w:p w:rsidR="00C17970" w:rsidRDefault="00C17970">
      <w:r>
        <w:rPr>
          <w:u w:val="single"/>
        </w:rPr>
        <w:t>Okvirni vremenski raspored:</w:t>
      </w:r>
    </w:p>
    <w:p w:rsidR="00C17970" w:rsidRDefault="00BB611E">
      <w:r>
        <w:t>Rok za prijavu: 8. siječnja</w:t>
      </w:r>
      <w:r w:rsidR="00DF1901">
        <w:t xml:space="preserve"> 2017.</w:t>
      </w:r>
    </w:p>
    <w:p w:rsidR="00DF1901" w:rsidRDefault="00DF1901">
      <w:r>
        <w:t>Prvi sastanak</w:t>
      </w:r>
      <w:r w:rsidR="00BB611E">
        <w:t>/konzultacije</w:t>
      </w:r>
      <w:r>
        <w:t xml:space="preserve"> voditeljice projekta sa stručnjacima i/ili stručnjakinjama: 15. siječnja 2018.</w:t>
      </w:r>
    </w:p>
    <w:p w:rsidR="00DF1901" w:rsidRDefault="00DF1901">
      <w:r>
        <w:t>Predaja nacrta izvještaja: 12 veljače 2018.</w:t>
      </w:r>
    </w:p>
    <w:p w:rsidR="00DF1901" w:rsidRDefault="00DF1901">
      <w:r>
        <w:t>Drugi sastanak</w:t>
      </w:r>
      <w:r w:rsidR="00BB611E">
        <w:t>/konzultacije</w:t>
      </w:r>
      <w:r>
        <w:t xml:space="preserve"> voditeljice projekta sa stručnjacima i/ili stručnjakinjama: 19. veljače 2018.</w:t>
      </w:r>
    </w:p>
    <w:p w:rsidR="00DF1901" w:rsidRDefault="00DF1901">
      <w:r>
        <w:t>Predaja konačnog teksta izvještaja: 26. veljače 2018.</w:t>
      </w:r>
    </w:p>
    <w:p w:rsidR="0029162E" w:rsidRPr="00DF4CAD" w:rsidRDefault="0029162E" w:rsidP="00DF4CAD">
      <w:pPr>
        <w:spacing w:after="0" w:line="240" w:lineRule="auto"/>
        <w:jc w:val="both"/>
        <w:rPr>
          <w:rFonts w:eastAsia="Calibri" w:cs="Arial"/>
        </w:rPr>
      </w:pPr>
    </w:p>
    <w:sectPr w:rsidR="0029162E" w:rsidRPr="00DF4CA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60E3" w:rsidRDefault="00D760E3" w:rsidP="00E37A33">
      <w:pPr>
        <w:spacing w:after="0" w:line="240" w:lineRule="auto"/>
      </w:pPr>
      <w:r>
        <w:separator/>
      </w:r>
    </w:p>
  </w:endnote>
  <w:endnote w:type="continuationSeparator" w:id="0">
    <w:p w:rsidR="00D760E3" w:rsidRDefault="00D760E3" w:rsidP="00E37A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33" w:rsidRDefault="00E37A3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55140" w:rsidRDefault="00255140" w:rsidP="00255140">
    <w:pPr>
      <w:pStyle w:val="Footer"/>
      <w:rPr>
        <w:rFonts w:ascii="Verdana" w:hAnsi="Verdana"/>
        <w:sz w:val="20"/>
        <w:szCs w:val="20"/>
      </w:rPr>
    </w:pPr>
  </w:p>
  <w:p w:rsidR="00255140" w:rsidRDefault="00255140" w:rsidP="00255140">
    <w:pPr>
      <w:pStyle w:val="Footer"/>
      <w:rPr>
        <w:rFonts w:ascii="Verdana" w:hAnsi="Verdana"/>
        <w:sz w:val="20"/>
        <w:szCs w:val="20"/>
      </w:rPr>
    </w:pPr>
    <w:r>
      <w:rPr>
        <w:rFonts w:ascii="Verdana" w:hAnsi="Verdana"/>
        <w:noProof/>
        <w:sz w:val="20"/>
        <w:szCs w:val="20"/>
        <w:lang w:eastAsia="hr-HR"/>
      </w:rPr>
      <w:drawing>
        <wp:anchor distT="0" distB="0" distL="114300" distR="114300" simplePos="0" relativeHeight="251659264" behindDoc="1" locked="0" layoutInCell="1" allowOverlap="1" wp14:anchorId="3E179789" wp14:editId="2A1D3DF5">
          <wp:simplePos x="0" y="0"/>
          <wp:positionH relativeFrom="column">
            <wp:posOffset>0</wp:posOffset>
          </wp:positionH>
          <wp:positionV relativeFrom="paragraph">
            <wp:posOffset>291465</wp:posOffset>
          </wp:positionV>
          <wp:extent cx="842400" cy="511200"/>
          <wp:effectExtent l="0" t="0" r="0" b="3175"/>
          <wp:wrapTight wrapText="bothSides">
            <wp:wrapPolygon edited="0">
              <wp:start x="0" y="0"/>
              <wp:lineTo x="0" y="20929"/>
              <wp:lineTo x="21014" y="20929"/>
              <wp:lineTo x="21014" y="0"/>
              <wp:lineTo x="0" y="0"/>
            </wp:wrapPolygon>
          </wp:wrapTight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2400" cy="51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255140" w:rsidRDefault="00255140" w:rsidP="00255140">
    <w:pPr>
      <w:pStyle w:val="Footer"/>
      <w:rPr>
        <w:rFonts w:ascii="Verdana" w:hAnsi="Verdana"/>
        <w:sz w:val="20"/>
        <w:szCs w:val="20"/>
      </w:rPr>
    </w:pPr>
  </w:p>
  <w:p w:rsidR="00255140" w:rsidRPr="00EA0F5E" w:rsidRDefault="00255140" w:rsidP="00255140">
    <w:pPr>
      <w:pStyle w:val="Footer"/>
      <w:jc w:val="both"/>
      <w:rPr>
        <w:rFonts w:cstheme="minorHAnsi"/>
        <w:b/>
        <w:sz w:val="18"/>
        <w:szCs w:val="18"/>
      </w:rPr>
    </w:pPr>
    <w:r w:rsidRPr="00EA0F5E">
      <w:rPr>
        <w:rFonts w:cstheme="minorHAnsi"/>
        <w:b/>
        <w:sz w:val="18"/>
        <w:szCs w:val="18"/>
      </w:rPr>
      <w:t xml:space="preserve">Ovaj projekt financira Program za pravosuđe Europske Unije (2014-2020). </w:t>
    </w:r>
  </w:p>
  <w:p w:rsidR="00255140" w:rsidRPr="00EA0F5E" w:rsidRDefault="00255140" w:rsidP="00255140">
    <w:pPr>
      <w:pStyle w:val="Footer"/>
      <w:jc w:val="both"/>
      <w:rPr>
        <w:rFonts w:ascii="Verdana" w:hAnsi="Verdana"/>
        <w:sz w:val="18"/>
        <w:szCs w:val="18"/>
      </w:rPr>
    </w:pPr>
    <w:r w:rsidRPr="00EA0F5E">
      <w:rPr>
        <w:rFonts w:cstheme="minorHAnsi"/>
        <w:b/>
        <w:sz w:val="18"/>
        <w:szCs w:val="18"/>
      </w:rPr>
      <w:t>Sadržaj ovog dokumenta predstavlja isključivo stavove autora i samo su oni za njega odgovorni. Europska komisija ne preuzima nikakvu odgovornost za način na koji će informacije sadržane u ovom dokumentu biti korištene.</w:t>
    </w:r>
  </w:p>
  <w:p w:rsidR="00255140" w:rsidRDefault="00255140">
    <w:pPr>
      <w:pStyle w:val="Footer"/>
    </w:pPr>
  </w:p>
  <w:p w:rsidR="00E37A33" w:rsidRDefault="00E37A33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33" w:rsidRDefault="00E37A3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60E3" w:rsidRDefault="00D760E3" w:rsidP="00E37A33">
      <w:pPr>
        <w:spacing w:after="0" w:line="240" w:lineRule="auto"/>
      </w:pPr>
      <w:r>
        <w:separator/>
      </w:r>
    </w:p>
  </w:footnote>
  <w:footnote w:type="continuationSeparator" w:id="0">
    <w:p w:rsidR="00D760E3" w:rsidRDefault="00D760E3" w:rsidP="00E37A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33" w:rsidRDefault="00E37A3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33" w:rsidRDefault="00E37A33">
    <w:pPr>
      <w:pStyle w:val="Header"/>
    </w:pPr>
    <w:r>
      <w:rPr>
        <w:noProof/>
        <w:lang w:eastAsia="hr-HR"/>
      </w:rPr>
      <w:drawing>
        <wp:inline distT="0" distB="0" distL="0" distR="0" wp14:anchorId="04681B49" wp14:editId="31A473E4">
          <wp:extent cx="2286000" cy="762000"/>
          <wp:effectExtent l="0" t="0" r="0" b="0"/>
          <wp:docPr id="1" name="Picture 1" descr="http://www.udruga-gradova.hr/wordpress/wp-content/uploads/2015/06/logo-udrugagradov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www.udruga-gradova.hr/wordpress/wp-content/uploads/2015/06/logo-udrugagradov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86000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E37A33">
      <w:rPr>
        <w:noProof/>
        <w:lang w:eastAsia="hr-HR"/>
      </w:rPr>
      <w:drawing>
        <wp:inline distT="0" distB="0" distL="0" distR="0">
          <wp:extent cx="1228725" cy="737235"/>
          <wp:effectExtent l="0" t="0" r="9525" b="5715"/>
          <wp:docPr id="2" name="Picture 2" descr="Z:\Ured\HPClogocolo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Ured\HPClogocolor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372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</w:t>
    </w:r>
    <w:r w:rsidRPr="00EB584D">
      <w:rPr>
        <w:rFonts w:ascii="Calibri" w:hAnsi="Calibri" w:cs="Calibri"/>
        <w:noProof/>
        <w:sz w:val="18"/>
        <w:szCs w:val="18"/>
        <w:lang w:eastAsia="hr-HR"/>
      </w:rPr>
      <w:drawing>
        <wp:inline distT="0" distB="0" distL="0" distR="0">
          <wp:extent cx="838200" cy="581025"/>
          <wp:effectExtent l="0" t="0" r="0" b="9525"/>
          <wp:docPr id="4" name="Picture 4" descr="Z:\IPA EU  INFO\PROJEKT\Visibility\jau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Z:\IPA EU  INFO\PROJEKT\Visibility\jaune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E37A33" w:rsidRDefault="00E37A33">
    <w:pPr>
      <w:pStyle w:val="Header"/>
    </w:pPr>
  </w:p>
  <w:p w:rsidR="00E37A33" w:rsidRDefault="00E37A33" w:rsidP="00E37A33">
    <w:pPr>
      <w:pStyle w:val="Header"/>
      <w:jc w:val="center"/>
    </w:pPr>
    <w:r>
      <w:t>Projekt „Gradovi za jednakost – Bolja zaštita od diskriminacije na lokalnoj razini kroz upravljanje raznolikošću i jednakošću“ financira Europska unija kroz program „Prava, jednakost i građanstvo“, a provode ga Hrvatski pravni centar i Udruga gradova u Republici Hrvatskoj.</w:t>
    </w:r>
  </w:p>
  <w:p w:rsidR="00E37A33" w:rsidRDefault="00E37A3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37A33" w:rsidRDefault="00E37A3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A33"/>
    <w:rsid w:val="0008515A"/>
    <w:rsid w:val="000E21F7"/>
    <w:rsid w:val="0022637F"/>
    <w:rsid w:val="00255140"/>
    <w:rsid w:val="00272B50"/>
    <w:rsid w:val="0029162E"/>
    <w:rsid w:val="00621690"/>
    <w:rsid w:val="00631BF1"/>
    <w:rsid w:val="0065159B"/>
    <w:rsid w:val="00852FC0"/>
    <w:rsid w:val="0085744D"/>
    <w:rsid w:val="009219CF"/>
    <w:rsid w:val="00923221"/>
    <w:rsid w:val="009F29C7"/>
    <w:rsid w:val="00A12BB7"/>
    <w:rsid w:val="00A20639"/>
    <w:rsid w:val="00A23570"/>
    <w:rsid w:val="00AA1062"/>
    <w:rsid w:val="00BB611E"/>
    <w:rsid w:val="00BC2EDF"/>
    <w:rsid w:val="00C05278"/>
    <w:rsid w:val="00C17970"/>
    <w:rsid w:val="00CD302E"/>
    <w:rsid w:val="00D47138"/>
    <w:rsid w:val="00D62139"/>
    <w:rsid w:val="00D760E3"/>
    <w:rsid w:val="00DC79C0"/>
    <w:rsid w:val="00DD54B6"/>
    <w:rsid w:val="00DF1901"/>
    <w:rsid w:val="00DF4CAD"/>
    <w:rsid w:val="00E06214"/>
    <w:rsid w:val="00E37A33"/>
    <w:rsid w:val="00E82453"/>
    <w:rsid w:val="00F348CF"/>
    <w:rsid w:val="00FE7623"/>
    <w:rsid w:val="00FF72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A33"/>
  </w:style>
  <w:style w:type="paragraph" w:styleId="Footer">
    <w:name w:val="footer"/>
    <w:basedOn w:val="Normal"/>
    <w:link w:val="FooterChar"/>
    <w:uiPriority w:val="99"/>
    <w:unhideWhenUsed/>
    <w:rsid w:val="00E3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A33"/>
  </w:style>
  <w:style w:type="paragraph" w:styleId="FootnoteText">
    <w:name w:val="footnote text"/>
    <w:basedOn w:val="Normal"/>
    <w:link w:val="FootnoteTextChar"/>
    <w:uiPriority w:val="99"/>
    <w:semiHidden/>
    <w:unhideWhenUsed/>
    <w:rsid w:val="00DF4CAD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CAD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4CAD"/>
    <w:rPr>
      <w:vertAlign w:val="superscript"/>
    </w:rPr>
  </w:style>
  <w:style w:type="table" w:styleId="TableGrid">
    <w:name w:val="Table Grid"/>
    <w:basedOn w:val="TableNormal"/>
    <w:uiPriority w:val="39"/>
    <w:rsid w:val="009F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4B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3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37A33"/>
  </w:style>
  <w:style w:type="paragraph" w:styleId="Footer">
    <w:name w:val="footer"/>
    <w:basedOn w:val="Normal"/>
    <w:link w:val="FooterChar"/>
    <w:uiPriority w:val="99"/>
    <w:unhideWhenUsed/>
    <w:rsid w:val="00E37A3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37A33"/>
  </w:style>
  <w:style w:type="paragraph" w:styleId="FootnoteText">
    <w:name w:val="footnote text"/>
    <w:basedOn w:val="Normal"/>
    <w:link w:val="FootnoteTextChar"/>
    <w:uiPriority w:val="99"/>
    <w:semiHidden/>
    <w:unhideWhenUsed/>
    <w:rsid w:val="00DF4CAD"/>
    <w:pPr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F4CAD"/>
    <w:rPr>
      <w:rFonts w:ascii="Arial" w:eastAsia="Calibri" w:hAnsi="Arial" w:cs="Arial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F4CAD"/>
    <w:rPr>
      <w:vertAlign w:val="superscript"/>
    </w:rPr>
  </w:style>
  <w:style w:type="table" w:styleId="TableGrid">
    <w:name w:val="Table Grid"/>
    <w:basedOn w:val="TableNormal"/>
    <w:uiPriority w:val="39"/>
    <w:rsid w:val="009F29C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D54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D54B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1184</Words>
  <Characters>6754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udruga gradova</Company>
  <LinksUpToDate>false</LinksUpToDate>
  <CharactersWithSpaces>7923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HPC</dc:creator>
  <cp:lastModifiedBy>pc</cp:lastModifiedBy>
  <cp:revision>2</cp:revision>
  <dcterms:created xsi:type="dcterms:W3CDTF">2017-12-22T23:48:00Z</dcterms:created>
  <dcterms:modified xsi:type="dcterms:W3CDTF">2017-12-22T23:48:00Z</dcterms:modified>
</cp:coreProperties>
</file>