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F1E" w:rsidRPr="00D821DC" w:rsidRDefault="00D821DC" w:rsidP="00A12622">
      <w:pPr>
        <w:rPr>
          <w:rFonts w:ascii="Cambria" w:hAnsi="Cambria"/>
          <w:b/>
          <w:sz w:val="28"/>
          <w:szCs w:val="28"/>
        </w:rPr>
      </w:pPr>
      <w:bookmarkStart w:id="0" w:name="_GoBack"/>
      <w:bookmarkEnd w:id="0"/>
      <w:r w:rsidRPr="00D821DC">
        <w:rPr>
          <w:rFonts w:ascii="Cambria" w:hAnsi="Cambria"/>
          <w:b/>
          <w:sz w:val="28"/>
          <w:szCs w:val="28"/>
        </w:rPr>
        <w:t>m</w:t>
      </w:r>
      <w:r w:rsidR="00BC5E34" w:rsidRPr="00D821DC">
        <w:rPr>
          <w:rFonts w:ascii="Cambria" w:hAnsi="Cambria"/>
          <w:b/>
          <w:sz w:val="28"/>
          <w:szCs w:val="28"/>
        </w:rPr>
        <w:t>r.sc. IVAN ŠPRAJC</w:t>
      </w:r>
    </w:p>
    <w:p w:rsidR="00D821DC" w:rsidRPr="00D821DC" w:rsidRDefault="00D821DC" w:rsidP="00A12622">
      <w:pPr>
        <w:rPr>
          <w:rFonts w:ascii="Cambria" w:hAnsi="Cambria"/>
          <w:b/>
          <w:sz w:val="28"/>
          <w:szCs w:val="28"/>
        </w:rPr>
      </w:pPr>
    </w:p>
    <w:p w:rsidR="00D821DC" w:rsidRPr="00D821DC" w:rsidRDefault="00D821DC" w:rsidP="00D821DC">
      <w:pPr>
        <w:jc w:val="center"/>
        <w:rPr>
          <w:rFonts w:ascii="Cambria" w:hAnsi="Cambria"/>
          <w:b/>
          <w:sz w:val="28"/>
          <w:szCs w:val="28"/>
        </w:rPr>
      </w:pPr>
    </w:p>
    <w:p w:rsidR="00D821DC" w:rsidRPr="00D821DC" w:rsidRDefault="00D821DC" w:rsidP="00D821DC">
      <w:pPr>
        <w:jc w:val="center"/>
        <w:rPr>
          <w:rFonts w:ascii="Cambria" w:hAnsi="Cambria"/>
          <w:b/>
          <w:sz w:val="28"/>
          <w:szCs w:val="28"/>
        </w:rPr>
      </w:pPr>
      <w:r w:rsidRPr="00D821DC">
        <w:rPr>
          <w:rFonts w:ascii="Cambria" w:hAnsi="Cambria"/>
          <w:b/>
          <w:sz w:val="28"/>
          <w:szCs w:val="28"/>
        </w:rPr>
        <w:t>O upravnosudskoj kontroli zakonitosti općih akata gradova</w:t>
      </w:r>
    </w:p>
    <w:p w:rsidR="00D821DC" w:rsidRPr="00D821DC" w:rsidRDefault="00D821DC" w:rsidP="00D821DC">
      <w:pPr>
        <w:jc w:val="center"/>
        <w:rPr>
          <w:rFonts w:ascii="Cambria" w:hAnsi="Cambria"/>
          <w:b/>
          <w:sz w:val="28"/>
          <w:szCs w:val="28"/>
        </w:rPr>
      </w:pPr>
      <w:r w:rsidRPr="00D821DC">
        <w:rPr>
          <w:rFonts w:ascii="Cambria" w:hAnsi="Cambria"/>
          <w:b/>
          <w:sz w:val="28"/>
          <w:szCs w:val="28"/>
        </w:rPr>
        <w:t>(Povo</w:t>
      </w:r>
      <w:r w:rsidR="00D53671">
        <w:rPr>
          <w:rFonts w:ascii="Cambria" w:hAnsi="Cambria"/>
          <w:b/>
          <w:sz w:val="28"/>
          <w:szCs w:val="28"/>
        </w:rPr>
        <w:t>do</w:t>
      </w:r>
      <w:r w:rsidRPr="00D821DC">
        <w:rPr>
          <w:rFonts w:ascii="Cambria" w:hAnsi="Cambria"/>
          <w:b/>
          <w:sz w:val="28"/>
          <w:szCs w:val="28"/>
        </w:rPr>
        <w:t>m Odluke Ustavnog suda RH br. U-III-1276/2015)</w:t>
      </w:r>
    </w:p>
    <w:p w:rsidR="00675862" w:rsidRDefault="00675862" w:rsidP="00A12622"/>
    <w:p w:rsidR="00D821DC" w:rsidRDefault="00D821DC" w:rsidP="00A12622"/>
    <w:p w:rsidR="00D821DC" w:rsidRDefault="00D821DC" w:rsidP="00A12622"/>
    <w:p w:rsidR="00675862" w:rsidRPr="00675862" w:rsidRDefault="00675862" w:rsidP="00A71B37">
      <w:pPr>
        <w:spacing w:line="360" w:lineRule="auto"/>
        <w:rPr>
          <w:rFonts w:ascii="Cambria" w:hAnsi="Cambria"/>
          <w:sz w:val="24"/>
          <w:szCs w:val="24"/>
        </w:rPr>
      </w:pPr>
      <w:r w:rsidRPr="00675862">
        <w:rPr>
          <w:rFonts w:ascii="Cambria" w:hAnsi="Cambria"/>
          <w:sz w:val="24"/>
          <w:szCs w:val="24"/>
        </w:rPr>
        <w:t>I – Uvod</w:t>
      </w:r>
    </w:p>
    <w:p w:rsidR="001D1A31" w:rsidRDefault="00675862" w:rsidP="00A71B37">
      <w:pPr>
        <w:spacing w:line="360" w:lineRule="auto"/>
        <w:jc w:val="both"/>
        <w:rPr>
          <w:rFonts w:ascii="Cambria" w:hAnsi="Cambria"/>
          <w:sz w:val="24"/>
          <w:szCs w:val="24"/>
        </w:rPr>
      </w:pPr>
      <w:r w:rsidRPr="00675862">
        <w:rPr>
          <w:rFonts w:ascii="Cambria" w:hAnsi="Cambria"/>
          <w:sz w:val="24"/>
          <w:szCs w:val="24"/>
        </w:rPr>
        <w:t>Ustavni sud RH</w:t>
      </w:r>
      <w:r>
        <w:rPr>
          <w:rFonts w:ascii="Cambria" w:hAnsi="Cambria"/>
          <w:sz w:val="24"/>
          <w:szCs w:val="24"/>
        </w:rPr>
        <w:t xml:space="preserve"> (dalje: USUD)</w:t>
      </w:r>
      <w:r w:rsidRPr="00675862">
        <w:rPr>
          <w:rFonts w:ascii="Cambria" w:hAnsi="Cambria"/>
          <w:sz w:val="24"/>
          <w:szCs w:val="24"/>
        </w:rPr>
        <w:t xml:space="preserve"> nedavno je objavio odluku koja se izravno tiče svih gradova u Republici Hrvatskoj. </w:t>
      </w:r>
      <w:r>
        <w:rPr>
          <w:rFonts w:ascii="Cambria" w:hAnsi="Cambria"/>
          <w:sz w:val="24"/>
          <w:szCs w:val="24"/>
        </w:rPr>
        <w:t>Odlukom br. U-III-1276/2015 (dalje: Odluka</w:t>
      </w:r>
      <w:r w:rsidR="0061444F">
        <w:rPr>
          <w:rFonts w:ascii="Cambria" w:hAnsi="Cambria"/>
          <w:sz w:val="24"/>
          <w:szCs w:val="24"/>
        </w:rPr>
        <w:t xml:space="preserve"> US-a)</w:t>
      </w:r>
      <w:r>
        <w:rPr>
          <w:rFonts w:ascii="Cambria" w:hAnsi="Cambria"/>
          <w:sz w:val="24"/>
          <w:szCs w:val="24"/>
        </w:rPr>
        <w:t xml:space="preserve"> Ustavni je sud odbio ustavnu tužbu kojom je podnositelj zatražio ukidanje rješenja Visokog upravnog suda RH.</w:t>
      </w:r>
      <w:r w:rsidR="00921543">
        <w:rPr>
          <w:rStyle w:val="FootnoteReference"/>
          <w:rFonts w:ascii="Cambria" w:hAnsi="Cambria"/>
          <w:sz w:val="24"/>
          <w:szCs w:val="24"/>
        </w:rPr>
        <w:footnoteReference w:id="1"/>
      </w:r>
      <w:r w:rsidR="00921543">
        <w:rPr>
          <w:rFonts w:ascii="Cambria" w:hAnsi="Cambria"/>
          <w:sz w:val="24"/>
          <w:szCs w:val="24"/>
        </w:rPr>
        <w:t xml:space="preserve"> </w:t>
      </w:r>
      <w:r>
        <w:rPr>
          <w:rFonts w:ascii="Cambria" w:hAnsi="Cambria"/>
          <w:sz w:val="24"/>
          <w:szCs w:val="24"/>
        </w:rPr>
        <w:t>Dotičnim rješenjem Visoki upravni sud odbacio je</w:t>
      </w:r>
      <w:r w:rsidR="001D1A31">
        <w:rPr>
          <w:rFonts w:ascii="Cambria" w:hAnsi="Cambria"/>
          <w:sz w:val="24"/>
          <w:szCs w:val="24"/>
        </w:rPr>
        <w:t xml:space="preserve"> kao nedopušten</w:t>
      </w:r>
      <w:r>
        <w:rPr>
          <w:rFonts w:ascii="Cambria" w:hAnsi="Cambria"/>
          <w:sz w:val="24"/>
          <w:szCs w:val="24"/>
        </w:rPr>
        <w:t xml:space="preserve"> </w:t>
      </w:r>
      <w:r w:rsidR="00B6520E">
        <w:rPr>
          <w:rFonts w:ascii="Cambria" w:hAnsi="Cambria"/>
          <w:sz w:val="24"/>
          <w:szCs w:val="24"/>
        </w:rPr>
        <w:t>zahtjev</w:t>
      </w:r>
      <w:r w:rsidR="001D1A31">
        <w:rPr>
          <w:rFonts w:ascii="Cambria" w:hAnsi="Cambria"/>
          <w:sz w:val="24"/>
          <w:szCs w:val="24"/>
        </w:rPr>
        <w:t xml:space="preserve"> podnositelja </w:t>
      </w:r>
      <w:r w:rsidR="00B6520E">
        <w:rPr>
          <w:rFonts w:ascii="Cambria" w:hAnsi="Cambria"/>
          <w:sz w:val="24"/>
          <w:szCs w:val="24"/>
        </w:rPr>
        <w:t>za ocjenom zakonitosti Odluke o načinu upravljanja i korištenja športskih građevina u vlasništvu Grada Zagreba.</w:t>
      </w:r>
      <w:r w:rsidR="00921543">
        <w:rPr>
          <w:rStyle w:val="FootnoteReference"/>
          <w:rFonts w:ascii="Cambria" w:hAnsi="Cambria"/>
          <w:sz w:val="24"/>
          <w:szCs w:val="24"/>
        </w:rPr>
        <w:footnoteReference w:id="2"/>
      </w:r>
      <w:r w:rsidR="00921543">
        <w:rPr>
          <w:rFonts w:ascii="Cambria" w:hAnsi="Cambria"/>
          <w:sz w:val="24"/>
          <w:szCs w:val="24"/>
        </w:rPr>
        <w:t xml:space="preserve"> (dalje: </w:t>
      </w:r>
      <w:r w:rsidR="0061444F">
        <w:rPr>
          <w:rFonts w:ascii="Cambria" w:hAnsi="Cambria"/>
          <w:sz w:val="24"/>
          <w:szCs w:val="24"/>
        </w:rPr>
        <w:t>Odluka GZ-a</w:t>
      </w:r>
      <w:r w:rsidR="00B6520E">
        <w:rPr>
          <w:rFonts w:ascii="Cambria" w:hAnsi="Cambria"/>
          <w:sz w:val="24"/>
          <w:szCs w:val="24"/>
        </w:rPr>
        <w:t>)</w:t>
      </w:r>
      <w:r w:rsidR="00DD5C69">
        <w:rPr>
          <w:rFonts w:ascii="Cambria" w:hAnsi="Cambria"/>
          <w:sz w:val="24"/>
          <w:szCs w:val="24"/>
        </w:rPr>
        <w:t xml:space="preserve"> </w:t>
      </w:r>
      <w:r w:rsidR="00D952D1">
        <w:rPr>
          <w:rFonts w:ascii="Cambria" w:hAnsi="Cambria"/>
          <w:sz w:val="24"/>
          <w:szCs w:val="24"/>
        </w:rPr>
        <w:t>Povod za osporavanje navedenog općeg akta bio je Zaključak o davanju u zakup sportske građevine – SRC Svetice kojim je podnositelj bio nezadovoljan.</w:t>
      </w:r>
    </w:p>
    <w:p w:rsidR="00D952D1" w:rsidRPr="00485894" w:rsidRDefault="00DD5C69" w:rsidP="00A71B37">
      <w:pPr>
        <w:spacing w:line="360" w:lineRule="auto"/>
        <w:jc w:val="both"/>
        <w:rPr>
          <w:rFonts w:ascii="Cambria" w:hAnsi="Cambria"/>
          <w:sz w:val="24"/>
          <w:szCs w:val="24"/>
        </w:rPr>
      </w:pPr>
      <w:r>
        <w:rPr>
          <w:rFonts w:ascii="Cambria" w:hAnsi="Cambria"/>
          <w:sz w:val="24"/>
          <w:szCs w:val="24"/>
        </w:rPr>
        <w:t>U ključnom dijelu obrazloženja V</w:t>
      </w:r>
      <w:r w:rsidR="00D952D1">
        <w:rPr>
          <w:rFonts w:ascii="Cambria" w:hAnsi="Cambria"/>
          <w:sz w:val="24"/>
          <w:szCs w:val="24"/>
        </w:rPr>
        <w:t>isoki upravni sud naveo je kao razlog odbacivanja</w:t>
      </w:r>
      <w:r w:rsidR="0076471A">
        <w:rPr>
          <w:rFonts w:ascii="Cambria" w:hAnsi="Cambria"/>
          <w:sz w:val="24"/>
          <w:szCs w:val="24"/>
        </w:rPr>
        <w:t xml:space="preserve"> zahtjeva za ocjenom zakonitosti općeg akta</w:t>
      </w:r>
      <w:r w:rsidR="00D952D1">
        <w:rPr>
          <w:rFonts w:ascii="Cambria" w:hAnsi="Cambria"/>
          <w:sz w:val="24"/>
          <w:szCs w:val="24"/>
        </w:rPr>
        <w:t xml:space="preserve"> okolnost da </w:t>
      </w:r>
      <w:r w:rsidR="0076471A">
        <w:rPr>
          <w:rFonts w:ascii="Cambria" w:hAnsi="Cambria"/>
          <w:sz w:val="24"/>
          <w:szCs w:val="24"/>
        </w:rPr>
        <w:t xml:space="preserve">pojedinačni akt (Zaključak o davanju u zakup sportske građevine – SRC Svetice) nije pojedinačni akt koji odgovara uvjetima iz čl. 83/1 Zakona o upravnim sporovima (ZUS). Riječima samog Visokog upravnog suda: </w:t>
      </w:r>
      <w:r w:rsidR="0076471A" w:rsidRPr="0076471A">
        <w:rPr>
          <w:rFonts w:ascii="Cambria" w:hAnsi="Cambria"/>
          <w:i/>
          <w:sz w:val="24"/>
          <w:szCs w:val="24"/>
        </w:rPr>
        <w:t>„Zaključak na kojemu podnositelj temelji zahtjev za ocjenu zakonitosti općeg akta je akt kojim Grad Zagreb daje u zakup nekretninu (javnu sportsku građevinu) u svom vlasništvu. Odluke gradonačelnika o zakupu građevina u vlasništvu gradova ne donose se u upravnom postupku, niti su upravni akti kojima se rješava u nekoj upravnoj stvari, već je riječ o aktima raspolaganja imovinom.“</w:t>
      </w:r>
      <w:r w:rsidR="00485894">
        <w:rPr>
          <w:rFonts w:ascii="Cambria" w:hAnsi="Cambria"/>
          <w:i/>
          <w:sz w:val="24"/>
          <w:szCs w:val="24"/>
        </w:rPr>
        <w:t xml:space="preserve"> </w:t>
      </w:r>
      <w:r w:rsidR="00485894">
        <w:rPr>
          <w:rFonts w:ascii="Cambria" w:hAnsi="Cambria"/>
          <w:sz w:val="24"/>
          <w:szCs w:val="24"/>
        </w:rPr>
        <w:t>(Citirano prema Odluci US-a, str. 3.)</w:t>
      </w:r>
      <w:r w:rsidR="009D6CFC">
        <w:rPr>
          <w:rStyle w:val="FootnoteReference"/>
          <w:rFonts w:ascii="Cambria" w:hAnsi="Cambria"/>
          <w:sz w:val="24"/>
          <w:szCs w:val="24"/>
        </w:rPr>
        <w:footnoteReference w:id="3"/>
      </w:r>
    </w:p>
    <w:p w:rsidR="0076471A" w:rsidRDefault="0076471A" w:rsidP="00A71B37">
      <w:pPr>
        <w:spacing w:line="360" w:lineRule="auto"/>
        <w:jc w:val="both"/>
        <w:rPr>
          <w:rFonts w:ascii="Cambria" w:hAnsi="Cambria"/>
          <w:sz w:val="24"/>
          <w:szCs w:val="24"/>
        </w:rPr>
      </w:pPr>
      <w:r>
        <w:rPr>
          <w:rFonts w:ascii="Cambria" w:hAnsi="Cambria"/>
          <w:sz w:val="24"/>
          <w:szCs w:val="24"/>
        </w:rPr>
        <w:lastRenderedPageBreak/>
        <w:t>Dakle, kao bitni razlog odbacivanja zahtjeva podnositelja naveden je formalni razlog odnosno pravni karakter pojedinačnog akta povodom kojeg je podnositelj zatražio ocjenu zakonitosti Odluke GZ-a.</w:t>
      </w:r>
    </w:p>
    <w:p w:rsidR="0076471A" w:rsidRDefault="0076471A" w:rsidP="00A71B37">
      <w:pPr>
        <w:spacing w:line="360" w:lineRule="auto"/>
        <w:jc w:val="both"/>
        <w:rPr>
          <w:rFonts w:ascii="Cambria" w:hAnsi="Cambria"/>
          <w:sz w:val="24"/>
          <w:szCs w:val="24"/>
        </w:rPr>
      </w:pPr>
    </w:p>
    <w:p w:rsidR="0076471A" w:rsidRDefault="0076471A" w:rsidP="00A71B37">
      <w:pPr>
        <w:spacing w:line="360" w:lineRule="auto"/>
        <w:jc w:val="both"/>
        <w:rPr>
          <w:rFonts w:ascii="Cambria" w:hAnsi="Cambria"/>
          <w:sz w:val="24"/>
          <w:szCs w:val="24"/>
        </w:rPr>
      </w:pPr>
      <w:r>
        <w:rPr>
          <w:rFonts w:ascii="Cambria" w:hAnsi="Cambria"/>
          <w:sz w:val="24"/>
          <w:szCs w:val="24"/>
        </w:rPr>
        <w:t xml:space="preserve">II </w:t>
      </w:r>
      <w:r w:rsidR="00B5639E">
        <w:rPr>
          <w:rFonts w:ascii="Cambria" w:hAnsi="Cambria"/>
          <w:sz w:val="24"/>
          <w:szCs w:val="24"/>
        </w:rPr>
        <w:t>–</w:t>
      </w:r>
      <w:r>
        <w:rPr>
          <w:rFonts w:ascii="Cambria" w:hAnsi="Cambria"/>
          <w:sz w:val="24"/>
          <w:szCs w:val="24"/>
        </w:rPr>
        <w:t xml:space="preserve"> </w:t>
      </w:r>
      <w:r w:rsidR="001F485D">
        <w:rPr>
          <w:rFonts w:ascii="Cambria" w:hAnsi="Cambria"/>
          <w:sz w:val="24"/>
          <w:szCs w:val="24"/>
        </w:rPr>
        <w:t>Odluka</w:t>
      </w:r>
      <w:r w:rsidR="00B5639E">
        <w:rPr>
          <w:rFonts w:ascii="Cambria" w:hAnsi="Cambria"/>
          <w:sz w:val="24"/>
          <w:szCs w:val="24"/>
        </w:rPr>
        <w:t xml:space="preserve"> Ustavnog suda RH</w:t>
      </w:r>
      <w:r w:rsidR="001F485D">
        <w:rPr>
          <w:rFonts w:ascii="Cambria" w:hAnsi="Cambria"/>
          <w:sz w:val="24"/>
          <w:szCs w:val="24"/>
        </w:rPr>
        <w:t xml:space="preserve"> br. U-III-1276/2015</w:t>
      </w:r>
    </w:p>
    <w:p w:rsidR="00B5639E" w:rsidRDefault="00B5639E" w:rsidP="00A71B37">
      <w:pPr>
        <w:spacing w:line="360" w:lineRule="auto"/>
        <w:jc w:val="both"/>
        <w:rPr>
          <w:rFonts w:ascii="Cambria" w:hAnsi="Cambria"/>
          <w:sz w:val="24"/>
          <w:szCs w:val="24"/>
        </w:rPr>
      </w:pPr>
      <w:r>
        <w:rPr>
          <w:rFonts w:ascii="Cambria" w:hAnsi="Cambria"/>
          <w:sz w:val="24"/>
          <w:szCs w:val="24"/>
        </w:rPr>
        <w:t>U ustavnosudskom postupku kao ključan pravni problem postavilo se pitanje je li Visoki upravni sud povrijedio pravo na pravično suđenje te pravo na jednakost podnositelju kada je donio rješenje goreopisanog sadržaja. Pri tome je podnositelj u ustavnoj tužbi dodatno istaknuo prethodnu pravnu praksu Visokog upravnog suda u kojoj je bilo moguće naići i na slučajeve kada se meritorno odlučivao iako pojedinačni akti povodom kojih je pokrenut upravni spor iz čl. 83/1 ZUS-a nisu bili upravni akti.</w:t>
      </w:r>
    </w:p>
    <w:p w:rsidR="00265B13" w:rsidRDefault="00B5639E" w:rsidP="00A71B37">
      <w:pPr>
        <w:spacing w:line="360" w:lineRule="auto"/>
        <w:jc w:val="both"/>
        <w:rPr>
          <w:rFonts w:ascii="Cambria" w:hAnsi="Cambria"/>
          <w:sz w:val="24"/>
          <w:szCs w:val="24"/>
        </w:rPr>
      </w:pPr>
      <w:r>
        <w:rPr>
          <w:rFonts w:ascii="Cambria" w:hAnsi="Cambria"/>
          <w:sz w:val="24"/>
          <w:szCs w:val="24"/>
        </w:rPr>
        <w:t xml:space="preserve">USUD je slučaj analizirao isključivo iz perspektive prava na pravično suđenje (čl. 29/1 Ustava RH) odnosno prava na pristup sudu kao sastavnog dijela prava na pravično suđenje. Nakon uvodnih konstatacija kako se ne može raditi o neograničenom pravu USUD je prihvatio razloge Visokog upravnog suda kao relevantne i dostatne. </w:t>
      </w:r>
    </w:p>
    <w:p w:rsidR="00B5639E" w:rsidRDefault="00B5639E" w:rsidP="00A71B37">
      <w:pPr>
        <w:spacing w:line="360" w:lineRule="auto"/>
        <w:jc w:val="both"/>
        <w:rPr>
          <w:rFonts w:ascii="Cambria" w:hAnsi="Cambria"/>
          <w:sz w:val="24"/>
          <w:szCs w:val="24"/>
        </w:rPr>
      </w:pPr>
      <w:r>
        <w:rPr>
          <w:rFonts w:ascii="Cambria" w:hAnsi="Cambria"/>
          <w:sz w:val="24"/>
          <w:szCs w:val="24"/>
        </w:rPr>
        <w:t>Pri tome je zanimljivo da je USUD ipak ponešto promijenio način pristupa bitnom pravnom problemu ovog slučaja. Naime, iako je Visoki upravni sud kao jedini relevantni razlog naveo okolnost da pojedinačni akt povodom kojeg je zatražena ocjena zakonitosti Odluke GZ-a nije upravni akt donesen u upravnom postupku USUD je u rezoniranju otišao korak dalje. Najviši sudski forum je zaključio kako se ne radi o pojedinačnom već o aktu raspolaganja</w:t>
      </w:r>
      <w:r w:rsidR="00265B13">
        <w:rPr>
          <w:rFonts w:ascii="Cambria" w:hAnsi="Cambria"/>
          <w:sz w:val="24"/>
          <w:szCs w:val="24"/>
        </w:rPr>
        <w:t xml:space="preserve"> imovinom</w:t>
      </w:r>
      <w:r>
        <w:rPr>
          <w:rFonts w:ascii="Cambria" w:hAnsi="Cambria"/>
          <w:sz w:val="24"/>
          <w:szCs w:val="24"/>
        </w:rPr>
        <w:t>.</w:t>
      </w:r>
      <w:r w:rsidR="00265B13">
        <w:rPr>
          <w:rFonts w:ascii="Cambria" w:hAnsi="Cambria"/>
          <w:sz w:val="24"/>
          <w:szCs w:val="24"/>
        </w:rPr>
        <w:t xml:space="preserve"> Nastavno tom zaključku, USUD je zaključio da akt raspolaganja imovinom nije pojedinačni akt iz čl. 83/1 ZUS-a. U konačnici USUD je odbio ustavnu tužbu jer da njezinom podnositelju nisu povrijeđena </w:t>
      </w:r>
      <w:r w:rsidR="00D4772B">
        <w:rPr>
          <w:rFonts w:ascii="Cambria" w:hAnsi="Cambria"/>
          <w:sz w:val="24"/>
          <w:szCs w:val="24"/>
        </w:rPr>
        <w:t>u ustavnoj tužbi istaknuta</w:t>
      </w:r>
      <w:r w:rsidR="00265B13">
        <w:rPr>
          <w:rFonts w:ascii="Cambria" w:hAnsi="Cambria"/>
          <w:sz w:val="24"/>
          <w:szCs w:val="24"/>
        </w:rPr>
        <w:t xml:space="preserve"> ustavna prava (pravo na pravično suđenje odnosno pravo na jednakost).</w:t>
      </w:r>
    </w:p>
    <w:p w:rsidR="00265B13" w:rsidRDefault="00265B13" w:rsidP="00A71B37">
      <w:pPr>
        <w:spacing w:line="360" w:lineRule="auto"/>
        <w:jc w:val="both"/>
        <w:rPr>
          <w:rFonts w:ascii="Cambria" w:hAnsi="Cambria"/>
          <w:sz w:val="24"/>
          <w:szCs w:val="24"/>
        </w:rPr>
      </w:pPr>
    </w:p>
    <w:p w:rsidR="00265B13" w:rsidRDefault="00265B13" w:rsidP="00A71B37">
      <w:pPr>
        <w:spacing w:line="360" w:lineRule="auto"/>
        <w:jc w:val="both"/>
        <w:rPr>
          <w:rFonts w:ascii="Cambria" w:hAnsi="Cambria"/>
          <w:sz w:val="24"/>
          <w:szCs w:val="24"/>
        </w:rPr>
      </w:pPr>
      <w:r>
        <w:rPr>
          <w:rFonts w:ascii="Cambria" w:hAnsi="Cambria"/>
          <w:sz w:val="24"/>
          <w:szCs w:val="24"/>
        </w:rPr>
        <w:t xml:space="preserve">III </w:t>
      </w:r>
      <w:r w:rsidR="00904AFC">
        <w:rPr>
          <w:rFonts w:ascii="Cambria" w:hAnsi="Cambria"/>
          <w:sz w:val="24"/>
          <w:szCs w:val="24"/>
        </w:rPr>
        <w:t>–</w:t>
      </w:r>
      <w:r>
        <w:rPr>
          <w:rFonts w:ascii="Cambria" w:hAnsi="Cambria"/>
          <w:sz w:val="24"/>
          <w:szCs w:val="24"/>
        </w:rPr>
        <w:t xml:space="preserve"> Posljedice</w:t>
      </w:r>
      <w:r w:rsidR="00904AFC">
        <w:rPr>
          <w:rFonts w:ascii="Cambria" w:hAnsi="Cambria"/>
          <w:sz w:val="24"/>
          <w:szCs w:val="24"/>
        </w:rPr>
        <w:t xml:space="preserve"> Odluke Ustavnog suda </w:t>
      </w:r>
    </w:p>
    <w:p w:rsidR="00904AFC" w:rsidRDefault="00904AFC" w:rsidP="00A71B37">
      <w:pPr>
        <w:spacing w:line="360" w:lineRule="auto"/>
        <w:jc w:val="both"/>
        <w:rPr>
          <w:rFonts w:ascii="Cambria" w:hAnsi="Cambria"/>
          <w:sz w:val="24"/>
          <w:szCs w:val="24"/>
        </w:rPr>
      </w:pPr>
      <w:r>
        <w:rPr>
          <w:rFonts w:ascii="Cambria" w:hAnsi="Cambria"/>
          <w:sz w:val="24"/>
          <w:szCs w:val="24"/>
        </w:rPr>
        <w:t xml:space="preserve">Prva i neposredna posljedica analizirane odluke jest zaključenje konkretnog slučaja i na ustavnosudskoj razini. </w:t>
      </w:r>
      <w:r w:rsidR="00556393">
        <w:rPr>
          <w:rFonts w:ascii="Cambria" w:hAnsi="Cambria"/>
          <w:sz w:val="24"/>
          <w:szCs w:val="24"/>
        </w:rPr>
        <w:t>Unutar hrvatskog pravnog sustava</w:t>
      </w:r>
      <w:r>
        <w:rPr>
          <w:rFonts w:ascii="Cambria" w:hAnsi="Cambria"/>
          <w:sz w:val="24"/>
          <w:szCs w:val="24"/>
        </w:rPr>
        <w:t xml:space="preserve"> više ne postoji način da se dotični postupak i predmet spora normativno preispita. Podnositelj ustavne tužbe mora </w:t>
      </w:r>
      <w:r>
        <w:rPr>
          <w:rFonts w:ascii="Cambria" w:hAnsi="Cambria"/>
          <w:sz w:val="24"/>
          <w:szCs w:val="24"/>
        </w:rPr>
        <w:lastRenderedPageBreak/>
        <w:t>prihvatiti prikazanu ustavnosudsku odluku naravno s drugačijim raspoloženjem no što će to učiniti Grad Zagreb.</w:t>
      </w:r>
    </w:p>
    <w:p w:rsidR="00904AFC" w:rsidRDefault="00904AFC" w:rsidP="00A71B37">
      <w:pPr>
        <w:spacing w:line="360" w:lineRule="auto"/>
        <w:jc w:val="both"/>
        <w:rPr>
          <w:rFonts w:ascii="Cambria" w:hAnsi="Cambria"/>
          <w:sz w:val="24"/>
          <w:szCs w:val="24"/>
        </w:rPr>
      </w:pPr>
      <w:r>
        <w:rPr>
          <w:rFonts w:ascii="Cambria" w:hAnsi="Cambria"/>
          <w:sz w:val="24"/>
          <w:szCs w:val="24"/>
        </w:rPr>
        <w:t>Međutim, po Grad Zagreb ali i sve druge gradove u Hrvatskoj Odluka US-a ima dalekosežne i brojne posljedice. Nastav</w:t>
      </w:r>
      <w:r w:rsidR="00AC59B6">
        <w:rPr>
          <w:rFonts w:ascii="Cambria" w:hAnsi="Cambria"/>
          <w:sz w:val="24"/>
          <w:szCs w:val="24"/>
        </w:rPr>
        <w:t>no</w:t>
      </w:r>
      <w:r>
        <w:rPr>
          <w:rFonts w:ascii="Cambria" w:hAnsi="Cambria"/>
          <w:sz w:val="24"/>
          <w:szCs w:val="24"/>
        </w:rPr>
        <w:t xml:space="preserve"> ukazuje</w:t>
      </w:r>
      <w:r w:rsidR="00AC59B6">
        <w:rPr>
          <w:rFonts w:ascii="Cambria" w:hAnsi="Cambria"/>
          <w:sz w:val="24"/>
          <w:szCs w:val="24"/>
        </w:rPr>
        <w:t>m</w:t>
      </w:r>
      <w:r>
        <w:rPr>
          <w:rFonts w:ascii="Cambria" w:hAnsi="Cambria"/>
          <w:sz w:val="24"/>
          <w:szCs w:val="24"/>
        </w:rPr>
        <w:t xml:space="preserve"> na neke od njih. Primjer</w:t>
      </w:r>
      <w:r w:rsidR="00DF29F7">
        <w:rPr>
          <w:rFonts w:ascii="Cambria" w:hAnsi="Cambria"/>
          <w:sz w:val="24"/>
          <w:szCs w:val="24"/>
        </w:rPr>
        <w:t>ice, svako raspolaganje vlasništvom</w:t>
      </w:r>
      <w:r>
        <w:rPr>
          <w:rFonts w:ascii="Cambria" w:hAnsi="Cambria"/>
          <w:sz w:val="24"/>
          <w:szCs w:val="24"/>
        </w:rPr>
        <w:t xml:space="preserve"> od strane gradova učinjeno na ovaj ili sličan način ima za gradove više vidljivih prednosti. Prvo i najvidljivije, opći akti gradova koji predstavljaju pra</w:t>
      </w:r>
      <w:r w:rsidR="00DF29F7">
        <w:rPr>
          <w:rFonts w:ascii="Cambria" w:hAnsi="Cambria"/>
          <w:sz w:val="24"/>
          <w:szCs w:val="24"/>
        </w:rPr>
        <w:t>vnu osnovu raspolaganja gradskim vlasništvom</w:t>
      </w:r>
      <w:r>
        <w:rPr>
          <w:rFonts w:ascii="Cambria" w:hAnsi="Cambria"/>
          <w:sz w:val="24"/>
          <w:szCs w:val="24"/>
        </w:rPr>
        <w:t xml:space="preserve"> na opisani način izuzeti su od sudske i apstraktne kontrole zakonitosti sukladno </w:t>
      </w:r>
      <w:r w:rsidR="00DD675C">
        <w:rPr>
          <w:rFonts w:ascii="Cambria" w:hAnsi="Cambria"/>
          <w:sz w:val="24"/>
          <w:szCs w:val="24"/>
        </w:rPr>
        <w:t>posebnom, šestom dijelu ZUS-a koji nosi naziv „Ocjena zakonitosti općih akata“</w:t>
      </w:r>
      <w:r w:rsidR="00DF29F7">
        <w:rPr>
          <w:rFonts w:ascii="Cambria" w:hAnsi="Cambria"/>
          <w:sz w:val="24"/>
          <w:szCs w:val="24"/>
        </w:rPr>
        <w:t xml:space="preserve"> (čl. 83-88)</w:t>
      </w:r>
      <w:r w:rsidR="00DD675C">
        <w:rPr>
          <w:rFonts w:ascii="Cambria" w:hAnsi="Cambria"/>
          <w:sz w:val="24"/>
          <w:szCs w:val="24"/>
        </w:rPr>
        <w:t xml:space="preserve">. Drugačije rečeno, opći akti gradova doneseni </w:t>
      </w:r>
      <w:r w:rsidR="00643672">
        <w:rPr>
          <w:rFonts w:ascii="Cambria" w:hAnsi="Cambria"/>
          <w:sz w:val="24"/>
          <w:szCs w:val="24"/>
        </w:rPr>
        <w:t>s ciljem raspolaganja gradskim vlasništvom</w:t>
      </w:r>
      <w:r w:rsidR="00CA2597">
        <w:rPr>
          <w:rFonts w:ascii="Cambria" w:hAnsi="Cambria"/>
          <w:sz w:val="24"/>
          <w:szCs w:val="24"/>
        </w:rPr>
        <w:t xml:space="preserve"> a čije je izvršenje predviđeno putem, primjerice, pojedin</w:t>
      </w:r>
      <w:r w:rsidR="00BF6142">
        <w:rPr>
          <w:rFonts w:ascii="Cambria" w:hAnsi="Cambria"/>
          <w:sz w:val="24"/>
          <w:szCs w:val="24"/>
        </w:rPr>
        <w:t>ačnih akata gradonačelnika spr</w:t>
      </w:r>
      <w:r w:rsidR="00CA2597">
        <w:rPr>
          <w:rFonts w:ascii="Cambria" w:hAnsi="Cambria"/>
          <w:sz w:val="24"/>
          <w:szCs w:val="24"/>
        </w:rPr>
        <w:t>ečavaju pokretanje postupka iz rečenog dijela ZUS-a u odnosu na iste opće akte.</w:t>
      </w:r>
    </w:p>
    <w:p w:rsidR="00CA2597" w:rsidRDefault="00CA2597" w:rsidP="00A71B37">
      <w:pPr>
        <w:spacing w:line="360" w:lineRule="auto"/>
        <w:jc w:val="both"/>
        <w:rPr>
          <w:rFonts w:ascii="Cambria" w:hAnsi="Cambria"/>
          <w:sz w:val="24"/>
          <w:szCs w:val="24"/>
        </w:rPr>
      </w:pPr>
      <w:r>
        <w:rPr>
          <w:rFonts w:ascii="Cambria" w:hAnsi="Cambria"/>
          <w:sz w:val="24"/>
          <w:szCs w:val="24"/>
        </w:rPr>
        <w:t>Drugo, pojedinačni akti primjerice gradonačelnik</w:t>
      </w:r>
      <w:r w:rsidR="00556393">
        <w:rPr>
          <w:rFonts w:ascii="Cambria" w:hAnsi="Cambria"/>
          <w:sz w:val="24"/>
          <w:szCs w:val="24"/>
        </w:rPr>
        <w:t>a</w:t>
      </w:r>
      <w:r>
        <w:rPr>
          <w:rFonts w:ascii="Cambria" w:hAnsi="Cambria"/>
          <w:sz w:val="24"/>
          <w:szCs w:val="24"/>
        </w:rPr>
        <w:t xml:space="preserve"> kojima se realiziraju goreopisani opći akti a koji imaju </w:t>
      </w:r>
      <w:r w:rsidR="00DF29F7">
        <w:rPr>
          <w:rFonts w:ascii="Cambria" w:hAnsi="Cambria"/>
          <w:sz w:val="24"/>
          <w:szCs w:val="24"/>
        </w:rPr>
        <w:t>za predmet raspolaganje vlasništvom</w:t>
      </w:r>
      <w:r w:rsidR="00CF7DAB">
        <w:rPr>
          <w:rFonts w:ascii="Cambria" w:hAnsi="Cambria"/>
          <w:sz w:val="24"/>
          <w:szCs w:val="24"/>
        </w:rPr>
        <w:t xml:space="preserve"> gradova</w:t>
      </w:r>
      <w:r>
        <w:rPr>
          <w:rFonts w:ascii="Cambria" w:hAnsi="Cambria"/>
          <w:sz w:val="24"/>
          <w:szCs w:val="24"/>
        </w:rPr>
        <w:t xml:space="preserve"> izuzeti su od </w:t>
      </w:r>
      <w:r w:rsidR="00556393">
        <w:rPr>
          <w:rFonts w:ascii="Cambria" w:hAnsi="Cambria"/>
          <w:sz w:val="24"/>
          <w:szCs w:val="24"/>
        </w:rPr>
        <w:t xml:space="preserve">konkretne </w:t>
      </w:r>
      <w:r>
        <w:rPr>
          <w:rFonts w:ascii="Cambria" w:hAnsi="Cambria"/>
          <w:sz w:val="24"/>
          <w:szCs w:val="24"/>
        </w:rPr>
        <w:t>upravnosudske kontrole u vidu upravnog spora pokrenutog protiv upravnog akta a temeljem čl. 3/1/1 ZUS-a. Takav zaključak – zasnovan na Odluci US-a –</w:t>
      </w:r>
      <w:r w:rsidR="000B5262">
        <w:rPr>
          <w:rFonts w:ascii="Cambria" w:hAnsi="Cambria"/>
          <w:sz w:val="24"/>
          <w:szCs w:val="24"/>
        </w:rPr>
        <w:t xml:space="preserve"> čini </w:t>
      </w:r>
      <w:r w:rsidR="008F57A0">
        <w:rPr>
          <w:rFonts w:ascii="Cambria" w:hAnsi="Cambria"/>
          <w:sz w:val="24"/>
          <w:szCs w:val="24"/>
        </w:rPr>
        <w:t>rečene pojedinačne akte kao i s njima povezane opće akte gradova priličnom imunim na upravnosudsku kontrolu.</w:t>
      </w:r>
      <w:r w:rsidR="00556393">
        <w:rPr>
          <w:rStyle w:val="FootnoteReference"/>
          <w:rFonts w:ascii="Cambria" w:hAnsi="Cambria"/>
          <w:sz w:val="24"/>
          <w:szCs w:val="24"/>
        </w:rPr>
        <w:footnoteReference w:id="4"/>
      </w:r>
      <w:r w:rsidR="008F57A0">
        <w:rPr>
          <w:rFonts w:ascii="Cambria" w:hAnsi="Cambria"/>
          <w:sz w:val="24"/>
          <w:szCs w:val="24"/>
        </w:rPr>
        <w:t xml:space="preserve"> </w:t>
      </w:r>
      <w:r>
        <w:rPr>
          <w:rFonts w:ascii="Cambria" w:hAnsi="Cambria"/>
          <w:sz w:val="24"/>
          <w:szCs w:val="24"/>
        </w:rPr>
        <w:t xml:space="preserve">Eventualni drugi upravni i </w:t>
      </w:r>
      <w:r w:rsidR="00556393">
        <w:rPr>
          <w:rFonts w:ascii="Cambria" w:hAnsi="Cambria"/>
          <w:sz w:val="24"/>
          <w:szCs w:val="24"/>
        </w:rPr>
        <w:t>(upravno)</w:t>
      </w:r>
      <w:r>
        <w:rPr>
          <w:rFonts w:ascii="Cambria" w:hAnsi="Cambria"/>
          <w:sz w:val="24"/>
          <w:szCs w:val="24"/>
        </w:rPr>
        <w:t>sudski putevi njihova osporavanja tek se moraju provjeriti u praksi što predstavlja prilično zahtjevnu</w:t>
      </w:r>
      <w:r w:rsidR="00C74EDB">
        <w:rPr>
          <w:rFonts w:ascii="Cambria" w:hAnsi="Cambria"/>
          <w:sz w:val="24"/>
          <w:szCs w:val="24"/>
        </w:rPr>
        <w:t xml:space="preserve"> i dugotrajnu</w:t>
      </w:r>
      <w:r>
        <w:rPr>
          <w:rFonts w:ascii="Cambria" w:hAnsi="Cambria"/>
          <w:sz w:val="24"/>
          <w:szCs w:val="24"/>
        </w:rPr>
        <w:t xml:space="preserve"> prepreku</w:t>
      </w:r>
      <w:r w:rsidR="004A7D3B">
        <w:rPr>
          <w:rFonts w:ascii="Cambria" w:hAnsi="Cambria"/>
          <w:sz w:val="24"/>
          <w:szCs w:val="24"/>
        </w:rPr>
        <w:t xml:space="preserve"> </w:t>
      </w:r>
      <w:r>
        <w:rPr>
          <w:rFonts w:ascii="Cambria" w:hAnsi="Cambria"/>
          <w:sz w:val="24"/>
          <w:szCs w:val="24"/>
        </w:rPr>
        <w:t xml:space="preserve"> za eventualne osporavatelje ovih akata</w:t>
      </w:r>
      <w:r w:rsidR="004A7D3B">
        <w:rPr>
          <w:rFonts w:ascii="Cambria" w:hAnsi="Cambria"/>
          <w:sz w:val="24"/>
          <w:szCs w:val="24"/>
        </w:rPr>
        <w:t xml:space="preserve"> uz neizvjestan ishod odgovarajućih postupaka</w:t>
      </w:r>
      <w:r>
        <w:rPr>
          <w:rFonts w:ascii="Cambria" w:hAnsi="Cambria"/>
          <w:sz w:val="24"/>
          <w:szCs w:val="24"/>
        </w:rPr>
        <w:t xml:space="preserve">. </w:t>
      </w:r>
    </w:p>
    <w:p w:rsidR="00A71B37" w:rsidRDefault="00CA2597" w:rsidP="00A71B37">
      <w:pPr>
        <w:spacing w:line="360" w:lineRule="auto"/>
        <w:jc w:val="both"/>
        <w:rPr>
          <w:rFonts w:ascii="Cambria" w:hAnsi="Cambria"/>
          <w:sz w:val="24"/>
          <w:szCs w:val="24"/>
        </w:rPr>
      </w:pPr>
      <w:r>
        <w:rPr>
          <w:rFonts w:ascii="Cambria" w:hAnsi="Cambria"/>
          <w:sz w:val="24"/>
          <w:szCs w:val="24"/>
        </w:rPr>
        <w:t>Treće,</w:t>
      </w:r>
      <w:r w:rsidR="002A55D8">
        <w:rPr>
          <w:rFonts w:ascii="Cambria" w:hAnsi="Cambria"/>
          <w:sz w:val="24"/>
          <w:szCs w:val="24"/>
        </w:rPr>
        <w:t xml:space="preserve"> Odlukom US-a korigirana je u znatnom opsegu prethodna </w:t>
      </w:r>
      <w:r w:rsidR="00315C98">
        <w:rPr>
          <w:rFonts w:ascii="Cambria" w:hAnsi="Cambria"/>
          <w:sz w:val="24"/>
          <w:szCs w:val="24"/>
        </w:rPr>
        <w:t>odluka istog foruma donesena pod br: U-III-215/2016 a u kojoj je Ustavni sud RH zaključio kako pojedinačni akt iz čl. 83/1 ZUS-a ne mora nužno i jedino biti upravni akt donesen u upravnom postupku.</w:t>
      </w:r>
      <w:r w:rsidR="009D6CFC">
        <w:rPr>
          <w:rStyle w:val="FootnoteReference"/>
          <w:rFonts w:ascii="Cambria" w:hAnsi="Cambria"/>
          <w:sz w:val="24"/>
          <w:szCs w:val="24"/>
        </w:rPr>
        <w:footnoteReference w:id="5"/>
      </w:r>
      <w:r w:rsidR="007D6EDE">
        <w:rPr>
          <w:rFonts w:ascii="Cambria" w:hAnsi="Cambria"/>
          <w:sz w:val="24"/>
          <w:szCs w:val="24"/>
        </w:rPr>
        <w:t xml:space="preserve"> </w:t>
      </w:r>
      <w:r w:rsidR="000D5983">
        <w:rPr>
          <w:rFonts w:ascii="Cambria" w:hAnsi="Cambria"/>
          <w:sz w:val="24"/>
          <w:szCs w:val="24"/>
        </w:rPr>
        <w:t xml:space="preserve">Reduciranje </w:t>
      </w:r>
      <w:r w:rsidR="00A80E30">
        <w:rPr>
          <w:rFonts w:ascii="Cambria" w:hAnsi="Cambria"/>
          <w:sz w:val="24"/>
          <w:szCs w:val="24"/>
        </w:rPr>
        <w:t xml:space="preserve">broja i vrste </w:t>
      </w:r>
      <w:r w:rsidR="000D5983">
        <w:rPr>
          <w:rFonts w:ascii="Cambria" w:hAnsi="Cambria"/>
          <w:sz w:val="24"/>
          <w:szCs w:val="24"/>
        </w:rPr>
        <w:t>općih akata gradova koji</w:t>
      </w:r>
      <w:r w:rsidR="00A10294">
        <w:rPr>
          <w:rFonts w:ascii="Cambria" w:hAnsi="Cambria"/>
          <w:sz w:val="24"/>
          <w:szCs w:val="24"/>
        </w:rPr>
        <w:t xml:space="preserve"> mogu biti predmetom </w:t>
      </w:r>
      <w:r w:rsidR="00A71B37">
        <w:rPr>
          <w:rFonts w:ascii="Cambria" w:hAnsi="Cambria"/>
          <w:sz w:val="24"/>
          <w:szCs w:val="24"/>
        </w:rPr>
        <w:t>ocjene zakonitosti pred Visokim upravnim sudom izvršeno je putem odstranjenja određenog broja i vrste pojedinačnih akata iz normativnog obuhvata čl. 83/1 ZUS-a. Tako je sada jasno da</w:t>
      </w:r>
      <w:r w:rsidR="00546AF7">
        <w:rPr>
          <w:rFonts w:ascii="Cambria" w:hAnsi="Cambria"/>
          <w:sz w:val="24"/>
          <w:szCs w:val="24"/>
        </w:rPr>
        <w:t xml:space="preserve"> nisu svi pojedinačni akti koji</w:t>
      </w:r>
      <w:r w:rsidR="00AE05F6">
        <w:rPr>
          <w:rFonts w:ascii="Cambria" w:hAnsi="Cambria"/>
          <w:sz w:val="24"/>
          <w:szCs w:val="24"/>
        </w:rPr>
        <w:t>ma se vrijeđa pravo ili pravni interes</w:t>
      </w:r>
      <w:r w:rsidR="001F485D">
        <w:rPr>
          <w:rFonts w:ascii="Cambria" w:hAnsi="Cambria"/>
          <w:sz w:val="24"/>
          <w:szCs w:val="24"/>
        </w:rPr>
        <w:t xml:space="preserve"> </w:t>
      </w:r>
      <w:r w:rsidR="001F485D">
        <w:rPr>
          <w:rFonts w:ascii="Cambria" w:hAnsi="Cambria"/>
          <w:sz w:val="24"/>
          <w:szCs w:val="24"/>
        </w:rPr>
        <w:lastRenderedPageBreak/>
        <w:t xml:space="preserve">stranke obuhvaćeni citiranom normom ZUS-a a to onda znači da ni svi opći akti iz čl. 3/2 ZUS-a nisu podobni biti predmetom ocjene zakonitosti. </w:t>
      </w:r>
    </w:p>
    <w:p w:rsidR="00CA2597" w:rsidRDefault="001F485D" w:rsidP="00675862">
      <w:pPr>
        <w:spacing w:line="360" w:lineRule="auto"/>
        <w:jc w:val="both"/>
        <w:rPr>
          <w:rFonts w:ascii="Cambria" w:hAnsi="Cambria"/>
          <w:sz w:val="24"/>
          <w:szCs w:val="24"/>
        </w:rPr>
      </w:pPr>
      <w:r>
        <w:rPr>
          <w:rFonts w:ascii="Cambria" w:hAnsi="Cambria"/>
          <w:sz w:val="24"/>
          <w:szCs w:val="24"/>
        </w:rPr>
        <w:t xml:space="preserve">Uzimajući u obzir nabrojane posljedice gradovi će </w:t>
      </w:r>
      <w:r w:rsidR="00A10294">
        <w:rPr>
          <w:rFonts w:ascii="Cambria" w:hAnsi="Cambria"/>
          <w:sz w:val="24"/>
          <w:szCs w:val="24"/>
        </w:rPr>
        <w:t>od</w:t>
      </w:r>
      <w:r>
        <w:rPr>
          <w:rFonts w:ascii="Cambria" w:hAnsi="Cambria"/>
          <w:sz w:val="24"/>
          <w:szCs w:val="24"/>
        </w:rPr>
        <w:t xml:space="preserve"> </w:t>
      </w:r>
      <w:r w:rsidR="00A10294">
        <w:rPr>
          <w:rFonts w:ascii="Cambria" w:hAnsi="Cambria"/>
          <w:sz w:val="24"/>
          <w:szCs w:val="24"/>
        </w:rPr>
        <w:t xml:space="preserve">sada vjerojatno pomno analizirati opće akte koje planiraju donijeti iz perspektive ovako postavljene prakse Ustavnog suda RH. </w:t>
      </w:r>
      <w:r w:rsidR="00631096">
        <w:rPr>
          <w:rFonts w:ascii="Cambria" w:hAnsi="Cambria"/>
          <w:sz w:val="24"/>
          <w:szCs w:val="24"/>
        </w:rPr>
        <w:t>Sukladno tome može se očekivati veći broj općih akata gradova koji će u prvi plan isticati elemente vezane za raspolaganje gradskim vlasništvom a sve u cilju osiguranja imuniteta od apstraktne odnosno konkretne upravnosudske kontrole. Koliko će to u</w:t>
      </w:r>
      <w:r w:rsidR="006F4F4A">
        <w:rPr>
          <w:rFonts w:ascii="Cambria" w:hAnsi="Cambria"/>
          <w:sz w:val="24"/>
          <w:szCs w:val="24"/>
        </w:rPr>
        <w:t>zrokovati</w:t>
      </w:r>
      <w:r w:rsidR="00631096">
        <w:rPr>
          <w:rFonts w:ascii="Cambria" w:hAnsi="Cambria"/>
          <w:sz w:val="24"/>
          <w:szCs w:val="24"/>
        </w:rPr>
        <w:t xml:space="preserve"> </w:t>
      </w:r>
      <w:r w:rsidR="006F4F4A">
        <w:rPr>
          <w:rFonts w:ascii="Cambria" w:hAnsi="Cambria"/>
          <w:sz w:val="24"/>
          <w:szCs w:val="24"/>
        </w:rPr>
        <w:t>korištenje eventualnih drugih pravnih puteva od strane pravnih subjekata ostaje vidjeti no jasno je da je prikazana Odluka Ustavnog suda RH važna i utjecajna te da će ostaviti traga na postupanje gradskih vlasti</w:t>
      </w:r>
      <w:r w:rsidR="004A7D3B">
        <w:rPr>
          <w:rFonts w:ascii="Cambria" w:hAnsi="Cambria"/>
          <w:sz w:val="24"/>
          <w:szCs w:val="24"/>
        </w:rPr>
        <w:t>. Upravo iz tog razloga prikazana je u ovom tekstu.</w:t>
      </w:r>
    </w:p>
    <w:p w:rsidR="0076471A" w:rsidRDefault="0076471A" w:rsidP="00675862">
      <w:pPr>
        <w:spacing w:line="360" w:lineRule="auto"/>
        <w:jc w:val="both"/>
        <w:rPr>
          <w:rFonts w:ascii="Cambria" w:hAnsi="Cambria"/>
          <w:sz w:val="24"/>
          <w:szCs w:val="24"/>
        </w:rPr>
      </w:pPr>
    </w:p>
    <w:p w:rsidR="0076471A" w:rsidRDefault="0076471A" w:rsidP="00675862">
      <w:pPr>
        <w:spacing w:line="360" w:lineRule="auto"/>
        <w:jc w:val="both"/>
        <w:rPr>
          <w:rFonts w:ascii="Cambria" w:hAnsi="Cambria"/>
          <w:sz w:val="24"/>
          <w:szCs w:val="24"/>
        </w:rPr>
      </w:pPr>
    </w:p>
    <w:p w:rsidR="001D1A31" w:rsidRPr="00675862" w:rsidRDefault="001D1A31" w:rsidP="00675862">
      <w:pPr>
        <w:spacing w:line="360" w:lineRule="auto"/>
        <w:jc w:val="both"/>
        <w:rPr>
          <w:rFonts w:ascii="Cambria" w:hAnsi="Cambria"/>
          <w:sz w:val="24"/>
          <w:szCs w:val="24"/>
        </w:rPr>
      </w:pPr>
    </w:p>
    <w:sectPr w:rsidR="001D1A31" w:rsidRPr="00675862" w:rsidSect="008447B6">
      <w:footerReference w:type="default" r:id="rId8"/>
      <w:pgSz w:w="11906" w:h="16838"/>
      <w:pgMar w:top="1417" w:right="1417" w:bottom="1417" w:left="1417"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525" w:rsidRDefault="00557525" w:rsidP="00315C98">
      <w:pPr>
        <w:spacing w:after="0" w:line="240" w:lineRule="auto"/>
      </w:pPr>
      <w:r>
        <w:separator/>
      </w:r>
    </w:p>
  </w:endnote>
  <w:endnote w:type="continuationSeparator" w:id="0">
    <w:p w:rsidR="00557525" w:rsidRDefault="00557525" w:rsidP="0031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535227"/>
      <w:docPartObj>
        <w:docPartGallery w:val="Page Numbers (Bottom of Page)"/>
        <w:docPartUnique/>
      </w:docPartObj>
    </w:sdtPr>
    <w:sdtEndPr/>
    <w:sdtContent>
      <w:p w:rsidR="00665264" w:rsidRDefault="00665264">
        <w:pPr>
          <w:pStyle w:val="Footer"/>
          <w:jc w:val="center"/>
        </w:pPr>
        <w:r>
          <w:fldChar w:fldCharType="begin"/>
        </w:r>
        <w:r>
          <w:instrText>PAGE   \* MERGEFORMAT</w:instrText>
        </w:r>
        <w:r>
          <w:fldChar w:fldCharType="separate"/>
        </w:r>
        <w:r w:rsidR="00556393">
          <w:rPr>
            <w:noProof/>
          </w:rPr>
          <w:t>3</w:t>
        </w:r>
        <w:r>
          <w:fldChar w:fldCharType="end"/>
        </w:r>
      </w:p>
    </w:sdtContent>
  </w:sdt>
  <w:p w:rsidR="00665264" w:rsidRDefault="00665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525" w:rsidRDefault="00557525" w:rsidP="00315C98">
      <w:pPr>
        <w:spacing w:after="0" w:line="240" w:lineRule="auto"/>
      </w:pPr>
      <w:r>
        <w:separator/>
      </w:r>
    </w:p>
  </w:footnote>
  <w:footnote w:type="continuationSeparator" w:id="0">
    <w:p w:rsidR="00557525" w:rsidRDefault="00557525" w:rsidP="00315C98">
      <w:pPr>
        <w:spacing w:after="0" w:line="240" w:lineRule="auto"/>
      </w:pPr>
      <w:r>
        <w:continuationSeparator/>
      </w:r>
    </w:p>
  </w:footnote>
  <w:footnote w:id="1">
    <w:p w:rsidR="00921543" w:rsidRDefault="00921543" w:rsidP="00921543">
      <w:pPr>
        <w:pStyle w:val="FootnoteText"/>
        <w:jc w:val="both"/>
      </w:pPr>
      <w:r>
        <w:rPr>
          <w:rStyle w:val="FootnoteReference"/>
        </w:rPr>
        <w:footnoteRef/>
      </w:r>
      <w:r>
        <w:t xml:space="preserve"> </w:t>
      </w:r>
      <w:proofErr w:type="spellStart"/>
      <w:r>
        <w:t>Odluci</w:t>
      </w:r>
      <w:proofErr w:type="spellEnd"/>
      <w:r>
        <w:t xml:space="preserve"> US-a </w:t>
      </w:r>
      <w:proofErr w:type="spellStart"/>
      <w:r>
        <w:t>moguće</w:t>
      </w:r>
      <w:proofErr w:type="spellEnd"/>
      <w:r>
        <w:t xml:space="preserve"> je </w:t>
      </w:r>
      <w:proofErr w:type="spellStart"/>
      <w:r>
        <w:t>pristupiti</w:t>
      </w:r>
      <w:proofErr w:type="spellEnd"/>
      <w:r>
        <w:t xml:space="preserve"> na </w:t>
      </w:r>
      <w:proofErr w:type="spellStart"/>
      <w:r>
        <w:t>poveznici</w:t>
      </w:r>
      <w:proofErr w:type="spellEnd"/>
      <w:r>
        <w:t xml:space="preserve">: </w:t>
      </w:r>
      <w:r w:rsidRPr="00921543">
        <w:t>https://sljeme.usud.hr/Usud/Praksaw.nsf/C12570D30061CE54C12584B20049EFCA/$FILE/U-III-1276-2015.pdf</w:t>
      </w:r>
    </w:p>
  </w:footnote>
  <w:footnote w:id="2">
    <w:p w:rsidR="00921543" w:rsidRDefault="00921543" w:rsidP="00921543">
      <w:pPr>
        <w:pStyle w:val="FootnoteText"/>
        <w:jc w:val="both"/>
      </w:pPr>
      <w:r>
        <w:rPr>
          <w:rStyle w:val="FootnoteReference"/>
        </w:rPr>
        <w:footnoteRef/>
      </w:r>
      <w:r>
        <w:t xml:space="preserve"> </w:t>
      </w:r>
      <w:proofErr w:type="spellStart"/>
      <w:r>
        <w:t>Odluka</w:t>
      </w:r>
      <w:proofErr w:type="spellEnd"/>
      <w:r>
        <w:t xml:space="preserve"> o </w:t>
      </w:r>
      <w:proofErr w:type="spellStart"/>
      <w:r>
        <w:t>načinu</w:t>
      </w:r>
      <w:proofErr w:type="spellEnd"/>
      <w:r>
        <w:t xml:space="preserve"> </w:t>
      </w:r>
      <w:proofErr w:type="spellStart"/>
      <w:r>
        <w:t>upravljanja</w:t>
      </w:r>
      <w:proofErr w:type="spellEnd"/>
      <w:r>
        <w:t xml:space="preserve"> i </w:t>
      </w:r>
      <w:proofErr w:type="spellStart"/>
      <w:r>
        <w:t>korištenja</w:t>
      </w:r>
      <w:proofErr w:type="spellEnd"/>
      <w:r>
        <w:t xml:space="preserve"> </w:t>
      </w:r>
      <w:proofErr w:type="spellStart"/>
      <w:r>
        <w:t>športskih</w:t>
      </w:r>
      <w:proofErr w:type="spellEnd"/>
      <w:r>
        <w:t xml:space="preserve"> </w:t>
      </w:r>
      <w:proofErr w:type="spellStart"/>
      <w:r>
        <w:t>građeivna</w:t>
      </w:r>
      <w:proofErr w:type="spellEnd"/>
      <w:r>
        <w:t xml:space="preserve"> u </w:t>
      </w:r>
      <w:proofErr w:type="spellStart"/>
      <w:r>
        <w:t>vlasništvu</w:t>
      </w:r>
      <w:proofErr w:type="spellEnd"/>
      <w:r>
        <w:t xml:space="preserve"> Grada Zagreba </w:t>
      </w:r>
      <w:proofErr w:type="spellStart"/>
      <w:r>
        <w:t>objavljena</w:t>
      </w:r>
      <w:proofErr w:type="spellEnd"/>
      <w:r>
        <w:t xml:space="preserve"> je u “</w:t>
      </w:r>
      <w:proofErr w:type="spellStart"/>
      <w:r>
        <w:t>Službenom</w:t>
      </w:r>
      <w:proofErr w:type="spellEnd"/>
      <w:r>
        <w:t xml:space="preserve"> </w:t>
      </w:r>
      <w:proofErr w:type="spellStart"/>
      <w:r>
        <w:t>glasniku</w:t>
      </w:r>
      <w:proofErr w:type="spellEnd"/>
      <w:r>
        <w:t xml:space="preserve"> Grada Zagreba”</w:t>
      </w:r>
      <w:r w:rsidR="00DC6526">
        <w:t xml:space="preserve"> br. 6/10, 12/10, 5/11 i 15</w:t>
      </w:r>
      <w:r>
        <w:t>/11).</w:t>
      </w:r>
    </w:p>
  </w:footnote>
  <w:footnote w:id="3">
    <w:p w:rsidR="009D6CFC" w:rsidRDefault="009D6CFC" w:rsidP="009D6CFC">
      <w:pPr>
        <w:pStyle w:val="FootnoteText"/>
        <w:jc w:val="both"/>
      </w:pPr>
      <w:r>
        <w:rPr>
          <w:rStyle w:val="FootnoteReference"/>
        </w:rPr>
        <w:footnoteRef/>
      </w:r>
      <w:r>
        <w:t xml:space="preserve"> </w:t>
      </w:r>
      <w:proofErr w:type="spellStart"/>
      <w:r>
        <w:t>Rješenje</w:t>
      </w:r>
      <w:proofErr w:type="spellEnd"/>
      <w:r>
        <w:t xml:space="preserve"> </w:t>
      </w:r>
      <w:proofErr w:type="spellStart"/>
      <w:r>
        <w:t>Visokog</w:t>
      </w:r>
      <w:proofErr w:type="spellEnd"/>
      <w:r>
        <w:t xml:space="preserve"> </w:t>
      </w:r>
      <w:proofErr w:type="spellStart"/>
      <w:r>
        <w:t>upravnog</w:t>
      </w:r>
      <w:proofErr w:type="spellEnd"/>
      <w:r>
        <w:t xml:space="preserve"> </w:t>
      </w:r>
      <w:proofErr w:type="spellStart"/>
      <w:r>
        <w:t>suda</w:t>
      </w:r>
      <w:proofErr w:type="spellEnd"/>
      <w:r>
        <w:t xml:space="preserve"> </w:t>
      </w:r>
      <w:proofErr w:type="spellStart"/>
      <w:r>
        <w:t>protiv</w:t>
      </w:r>
      <w:proofErr w:type="spellEnd"/>
      <w:r>
        <w:t xml:space="preserve"> </w:t>
      </w:r>
      <w:proofErr w:type="spellStart"/>
      <w:r>
        <w:t>kojeg</w:t>
      </w:r>
      <w:proofErr w:type="spellEnd"/>
      <w:r>
        <w:t xml:space="preserve"> je </w:t>
      </w:r>
      <w:proofErr w:type="spellStart"/>
      <w:r>
        <w:t>ustavna</w:t>
      </w:r>
      <w:proofErr w:type="spellEnd"/>
      <w:r>
        <w:t xml:space="preserve"> </w:t>
      </w:r>
      <w:proofErr w:type="spellStart"/>
      <w:r>
        <w:t>tužba</w:t>
      </w:r>
      <w:proofErr w:type="spellEnd"/>
      <w:r>
        <w:t xml:space="preserve"> </w:t>
      </w:r>
      <w:proofErr w:type="spellStart"/>
      <w:r>
        <w:t>uperena</w:t>
      </w:r>
      <w:proofErr w:type="spellEnd"/>
      <w:r>
        <w:t xml:space="preserve"> </w:t>
      </w:r>
      <w:r w:rsidR="00556393">
        <w:t xml:space="preserve">(pod </w:t>
      </w:r>
      <w:proofErr w:type="spellStart"/>
      <w:r w:rsidR="00556393">
        <w:t>br</w:t>
      </w:r>
      <w:proofErr w:type="spellEnd"/>
      <w:r w:rsidR="00556393">
        <w:t xml:space="preserve">: Uso-38/14-5) </w:t>
      </w:r>
      <w:proofErr w:type="spellStart"/>
      <w:r w:rsidR="00556393">
        <w:t>objavljeno</w:t>
      </w:r>
      <w:proofErr w:type="spellEnd"/>
      <w:r>
        <w:t xml:space="preserve"> je na web-</w:t>
      </w:r>
      <w:proofErr w:type="spellStart"/>
      <w:r>
        <w:t>stranici</w:t>
      </w:r>
      <w:proofErr w:type="spellEnd"/>
      <w:r>
        <w:t xml:space="preserve"> </w:t>
      </w:r>
      <w:proofErr w:type="spellStart"/>
      <w:r>
        <w:t>Visokog</w:t>
      </w:r>
      <w:proofErr w:type="spellEnd"/>
      <w:r>
        <w:t xml:space="preserve"> </w:t>
      </w:r>
      <w:proofErr w:type="spellStart"/>
      <w:r>
        <w:t>upravnog</w:t>
      </w:r>
      <w:proofErr w:type="spellEnd"/>
      <w:r>
        <w:t xml:space="preserve"> </w:t>
      </w:r>
      <w:proofErr w:type="spellStart"/>
      <w:r>
        <w:t>suda</w:t>
      </w:r>
      <w:proofErr w:type="spellEnd"/>
      <w:r>
        <w:t xml:space="preserve"> na </w:t>
      </w:r>
      <w:proofErr w:type="spellStart"/>
      <w:r>
        <w:t>poveznici</w:t>
      </w:r>
      <w:proofErr w:type="spellEnd"/>
      <w:r>
        <w:t xml:space="preserve">: </w:t>
      </w:r>
      <w:r w:rsidRPr="009D6CFC">
        <w:t>http://vusrh.hr/wp-content/uploads/2018/12/Usoz-38-2014-RO.A.pdf</w:t>
      </w:r>
    </w:p>
  </w:footnote>
  <w:footnote w:id="4">
    <w:p w:rsidR="00556393" w:rsidRPr="00556393" w:rsidRDefault="00556393" w:rsidP="00556393">
      <w:pPr>
        <w:pStyle w:val="FootnoteText"/>
        <w:jc w:val="both"/>
      </w:pPr>
      <w:r>
        <w:rPr>
          <w:rStyle w:val="FootnoteReference"/>
        </w:rPr>
        <w:footnoteRef/>
      </w:r>
      <w:r w:rsidRPr="00556393">
        <w:t xml:space="preserve"> </w:t>
      </w:r>
      <w:proofErr w:type="spellStart"/>
      <w:r w:rsidRPr="00556393">
        <w:t>Naravno</w:t>
      </w:r>
      <w:proofErr w:type="spellEnd"/>
      <w:r w:rsidRPr="00556393">
        <w:t xml:space="preserve">, </w:t>
      </w:r>
      <w:proofErr w:type="spellStart"/>
      <w:r w:rsidRPr="00556393">
        <w:t>ovom</w:t>
      </w:r>
      <w:proofErr w:type="spellEnd"/>
      <w:r w:rsidRPr="00556393">
        <w:t xml:space="preserve"> </w:t>
      </w:r>
      <w:proofErr w:type="spellStart"/>
      <w:r w:rsidRPr="00556393">
        <w:t>tvrdnjom</w:t>
      </w:r>
      <w:proofErr w:type="spellEnd"/>
      <w:r w:rsidRPr="00556393">
        <w:t xml:space="preserve"> se ne </w:t>
      </w:r>
      <w:proofErr w:type="spellStart"/>
      <w:r w:rsidRPr="00556393">
        <w:t>prejudicira</w:t>
      </w:r>
      <w:proofErr w:type="spellEnd"/>
      <w:r w:rsidRPr="00556393">
        <w:t xml:space="preserve"> </w:t>
      </w:r>
      <w:proofErr w:type="spellStart"/>
      <w:r w:rsidRPr="00556393">
        <w:t>upravnosudska</w:t>
      </w:r>
      <w:proofErr w:type="spellEnd"/>
      <w:r w:rsidRPr="00556393">
        <w:t xml:space="preserve"> </w:t>
      </w:r>
      <w:proofErr w:type="spellStart"/>
      <w:r w:rsidRPr="00556393">
        <w:t>odluka</w:t>
      </w:r>
      <w:proofErr w:type="spellEnd"/>
      <w:r w:rsidRPr="00556393">
        <w:t xml:space="preserve"> o </w:t>
      </w:r>
      <w:proofErr w:type="spellStart"/>
      <w:r w:rsidRPr="00556393">
        <w:t>even</w:t>
      </w:r>
      <w:r>
        <w:t>tualnoj</w:t>
      </w:r>
      <w:proofErr w:type="spellEnd"/>
      <w:r>
        <w:t xml:space="preserve"> </w:t>
      </w:r>
      <w:proofErr w:type="spellStart"/>
      <w:r>
        <w:t>tužbi</w:t>
      </w:r>
      <w:proofErr w:type="spellEnd"/>
      <w:r>
        <w:t xml:space="preserve"> </w:t>
      </w:r>
      <w:proofErr w:type="spellStart"/>
      <w:r>
        <w:t>zasnovanoj</w:t>
      </w:r>
      <w:proofErr w:type="spellEnd"/>
      <w:r>
        <w:t xml:space="preserve"> na </w:t>
      </w:r>
      <w:proofErr w:type="spellStart"/>
      <w:r>
        <w:t>primjerice</w:t>
      </w:r>
      <w:proofErr w:type="spellEnd"/>
      <w:r>
        <w:t xml:space="preserve"> </w:t>
      </w:r>
      <w:proofErr w:type="spellStart"/>
      <w:r>
        <w:t>čl</w:t>
      </w:r>
      <w:proofErr w:type="spellEnd"/>
      <w:r>
        <w:t>. 3/1/2 ZUS-a.</w:t>
      </w:r>
    </w:p>
  </w:footnote>
  <w:footnote w:id="5">
    <w:p w:rsidR="009D6CFC" w:rsidRDefault="009D6CFC" w:rsidP="008F0B81">
      <w:pPr>
        <w:pStyle w:val="FootnoteText"/>
        <w:jc w:val="both"/>
      </w:pPr>
      <w:r>
        <w:rPr>
          <w:rStyle w:val="FootnoteReference"/>
        </w:rPr>
        <w:footnoteRef/>
      </w:r>
      <w:r w:rsidRPr="00556393">
        <w:rPr>
          <w:lang w:val="pl-PL"/>
        </w:rPr>
        <w:t xml:space="preserve"> </w:t>
      </w:r>
      <w:r w:rsidR="008F0B81" w:rsidRPr="00556393">
        <w:rPr>
          <w:lang w:val="pl-PL"/>
        </w:rPr>
        <w:t xml:space="preserve">Rečena odluka objavljena je na web-stranici Ustavnog suda RH: https://sljeme.usud.hr/usud/praksaw.nsf/NovostiO/C12570D30061CE54C12581FC00320B0D?OpenDocument). Podrobniji prikaz i analizu v. kod I. Šprajc, Ustavnosudska korekcija nadležnosti Visokog upravnog suda RH (Povodom Odluke Ustavnog suda RH br. </w:t>
      </w:r>
      <w:r w:rsidR="008F0B81" w:rsidRPr="008F0B81">
        <w:t>U-III-215/2016), u: „</w:t>
      </w:r>
      <w:proofErr w:type="spellStart"/>
      <w:r w:rsidR="008F0B81" w:rsidRPr="008F0B81">
        <w:t>Pravo</w:t>
      </w:r>
      <w:proofErr w:type="spellEnd"/>
      <w:r w:rsidR="008F0B81" w:rsidRPr="008F0B81">
        <w:t xml:space="preserve"> u </w:t>
      </w:r>
      <w:proofErr w:type="spellStart"/>
      <w:r w:rsidR="008F0B81" w:rsidRPr="008F0B81">
        <w:t>gospodarstvu</w:t>
      </w:r>
      <w:proofErr w:type="spellEnd"/>
      <w:r w:rsidR="008F0B81" w:rsidRPr="008F0B81">
        <w:t>“, br. 02/2018, str. 313-323.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61A8"/>
    <w:multiLevelType w:val="hybridMultilevel"/>
    <w:tmpl w:val="D0361C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9542FEB"/>
    <w:multiLevelType w:val="hybridMultilevel"/>
    <w:tmpl w:val="D4A4507A"/>
    <w:lvl w:ilvl="0" w:tplc="62220E8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37E181B"/>
    <w:multiLevelType w:val="hybridMultilevel"/>
    <w:tmpl w:val="948A1F06"/>
    <w:lvl w:ilvl="0" w:tplc="F28801C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79346C5"/>
    <w:multiLevelType w:val="hybridMultilevel"/>
    <w:tmpl w:val="E626E360"/>
    <w:lvl w:ilvl="0" w:tplc="66204DA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37E45F21"/>
    <w:multiLevelType w:val="hybridMultilevel"/>
    <w:tmpl w:val="9F4221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8C65368"/>
    <w:multiLevelType w:val="hybridMultilevel"/>
    <w:tmpl w:val="187A5A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92D0CC2"/>
    <w:multiLevelType w:val="hybridMultilevel"/>
    <w:tmpl w:val="284AF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B406C00"/>
    <w:multiLevelType w:val="hybridMultilevel"/>
    <w:tmpl w:val="E1D66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914332"/>
    <w:multiLevelType w:val="hybridMultilevel"/>
    <w:tmpl w:val="14D81B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4"/>
  </w:num>
  <w:num w:numId="5">
    <w:abstractNumId w:val="1"/>
  </w:num>
  <w:num w:numId="6">
    <w:abstractNumId w:val="2"/>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B6"/>
    <w:rsid w:val="00017D67"/>
    <w:rsid w:val="000337A7"/>
    <w:rsid w:val="00062AF5"/>
    <w:rsid w:val="0008397E"/>
    <w:rsid w:val="000B5262"/>
    <w:rsid w:val="000D2C77"/>
    <w:rsid w:val="000D5983"/>
    <w:rsid w:val="00153ADD"/>
    <w:rsid w:val="001D1A31"/>
    <w:rsid w:val="001D3CA8"/>
    <w:rsid w:val="001F485D"/>
    <w:rsid w:val="001F5188"/>
    <w:rsid w:val="0026483B"/>
    <w:rsid w:val="00265B13"/>
    <w:rsid w:val="002A55D8"/>
    <w:rsid w:val="002F0B67"/>
    <w:rsid w:val="003100A2"/>
    <w:rsid w:val="00315C98"/>
    <w:rsid w:val="00326910"/>
    <w:rsid w:val="0033254A"/>
    <w:rsid w:val="00375B05"/>
    <w:rsid w:val="003F211A"/>
    <w:rsid w:val="00461E18"/>
    <w:rsid w:val="00481E09"/>
    <w:rsid w:val="00482EA6"/>
    <w:rsid w:val="00485894"/>
    <w:rsid w:val="004A7D3B"/>
    <w:rsid w:val="004C0A34"/>
    <w:rsid w:val="004C66C8"/>
    <w:rsid w:val="00546AF7"/>
    <w:rsid w:val="00556393"/>
    <w:rsid w:val="00557525"/>
    <w:rsid w:val="00566597"/>
    <w:rsid w:val="005C5FD5"/>
    <w:rsid w:val="0060456C"/>
    <w:rsid w:val="0061444F"/>
    <w:rsid w:val="00631096"/>
    <w:rsid w:val="00631AE3"/>
    <w:rsid w:val="00643672"/>
    <w:rsid w:val="00647AA1"/>
    <w:rsid w:val="00665264"/>
    <w:rsid w:val="00675862"/>
    <w:rsid w:val="006A6112"/>
    <w:rsid w:val="006B6B6B"/>
    <w:rsid w:val="006F4F4A"/>
    <w:rsid w:val="0076471A"/>
    <w:rsid w:val="00765039"/>
    <w:rsid w:val="0079033A"/>
    <w:rsid w:val="007D6EDE"/>
    <w:rsid w:val="007F06F2"/>
    <w:rsid w:val="0083265D"/>
    <w:rsid w:val="008447B6"/>
    <w:rsid w:val="008F0B81"/>
    <w:rsid w:val="008F57A0"/>
    <w:rsid w:val="00904AFC"/>
    <w:rsid w:val="00907F31"/>
    <w:rsid w:val="00921543"/>
    <w:rsid w:val="00963A0B"/>
    <w:rsid w:val="009D6CFC"/>
    <w:rsid w:val="009F0CA2"/>
    <w:rsid w:val="00A10294"/>
    <w:rsid w:val="00A12622"/>
    <w:rsid w:val="00A34190"/>
    <w:rsid w:val="00A64E23"/>
    <w:rsid w:val="00A71B37"/>
    <w:rsid w:val="00A80E30"/>
    <w:rsid w:val="00A91FD8"/>
    <w:rsid w:val="00AC59B6"/>
    <w:rsid w:val="00AE05F6"/>
    <w:rsid w:val="00B12CAD"/>
    <w:rsid w:val="00B37E55"/>
    <w:rsid w:val="00B55D36"/>
    <w:rsid w:val="00B5639E"/>
    <w:rsid w:val="00B6520E"/>
    <w:rsid w:val="00BC5E34"/>
    <w:rsid w:val="00BE719B"/>
    <w:rsid w:val="00BF6142"/>
    <w:rsid w:val="00C45650"/>
    <w:rsid w:val="00C52ACC"/>
    <w:rsid w:val="00C74EDB"/>
    <w:rsid w:val="00C93F7A"/>
    <w:rsid w:val="00CA2597"/>
    <w:rsid w:val="00CD18A4"/>
    <w:rsid w:val="00CE3F1E"/>
    <w:rsid w:val="00CF7DAB"/>
    <w:rsid w:val="00D205AF"/>
    <w:rsid w:val="00D4772B"/>
    <w:rsid w:val="00D53671"/>
    <w:rsid w:val="00D77222"/>
    <w:rsid w:val="00D821DC"/>
    <w:rsid w:val="00D952D1"/>
    <w:rsid w:val="00DC4484"/>
    <w:rsid w:val="00DC6526"/>
    <w:rsid w:val="00DD5C69"/>
    <w:rsid w:val="00DD675C"/>
    <w:rsid w:val="00DF29F7"/>
    <w:rsid w:val="00E3599B"/>
    <w:rsid w:val="00E967B3"/>
    <w:rsid w:val="00EE49C3"/>
    <w:rsid w:val="00EF49D0"/>
    <w:rsid w:val="00F5668D"/>
    <w:rsid w:val="00F62F6C"/>
    <w:rsid w:val="00FB55B6"/>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2E4C1-3C5D-45D6-8A19-0BB47DB1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E23"/>
    <w:pPr>
      <w:ind w:left="720"/>
      <w:contextualSpacing/>
    </w:pPr>
  </w:style>
  <w:style w:type="paragraph" w:customStyle="1" w:styleId="box454982">
    <w:name w:val="box_454982"/>
    <w:basedOn w:val="Normal"/>
    <w:rsid w:val="00A91F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76471A"/>
    <w:pPr>
      <w:autoSpaceDE w:val="0"/>
      <w:autoSpaceDN w:val="0"/>
      <w:adjustRightInd w:val="0"/>
      <w:spacing w:after="0" w:line="240" w:lineRule="auto"/>
    </w:pPr>
    <w:rPr>
      <w:rFonts w:ascii="Arial" w:hAnsi="Arial" w:cs="Arial"/>
      <w:color w:val="000000"/>
      <w:sz w:val="24"/>
      <w:szCs w:val="24"/>
      <w:lang w:val="en-US"/>
    </w:rPr>
  </w:style>
  <w:style w:type="paragraph" w:styleId="FootnoteText">
    <w:name w:val="footnote text"/>
    <w:basedOn w:val="Normal"/>
    <w:link w:val="FootnoteTextChar"/>
    <w:uiPriority w:val="99"/>
    <w:semiHidden/>
    <w:unhideWhenUsed/>
    <w:rsid w:val="00315C98"/>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315C98"/>
    <w:rPr>
      <w:rFonts w:eastAsiaTheme="minorEastAsia"/>
      <w:sz w:val="20"/>
      <w:szCs w:val="20"/>
      <w:lang w:val="en-US"/>
    </w:rPr>
  </w:style>
  <w:style w:type="character" w:styleId="FootnoteReference">
    <w:name w:val="footnote reference"/>
    <w:basedOn w:val="DefaultParagraphFont"/>
    <w:uiPriority w:val="99"/>
    <w:semiHidden/>
    <w:unhideWhenUsed/>
    <w:rsid w:val="00315C98"/>
    <w:rPr>
      <w:vertAlign w:val="superscript"/>
    </w:rPr>
  </w:style>
  <w:style w:type="paragraph" w:styleId="Header">
    <w:name w:val="header"/>
    <w:basedOn w:val="Normal"/>
    <w:link w:val="HeaderChar"/>
    <w:uiPriority w:val="99"/>
    <w:unhideWhenUsed/>
    <w:rsid w:val="006652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264"/>
  </w:style>
  <w:style w:type="paragraph" w:styleId="Footer">
    <w:name w:val="footer"/>
    <w:basedOn w:val="Normal"/>
    <w:link w:val="FooterChar"/>
    <w:uiPriority w:val="99"/>
    <w:unhideWhenUsed/>
    <w:rsid w:val="006652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264"/>
  </w:style>
  <w:style w:type="character" w:styleId="Hyperlink">
    <w:name w:val="Hyperlink"/>
    <w:basedOn w:val="DefaultParagraphFont"/>
    <w:uiPriority w:val="99"/>
    <w:unhideWhenUsed/>
    <w:rsid w:val="00BE71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80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F71B9-8CD5-4D61-8CFF-C8E9D02A9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5707</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Nives</cp:lastModifiedBy>
  <cp:revision>2</cp:revision>
  <cp:lastPrinted>2019-02-18T12:34:00Z</cp:lastPrinted>
  <dcterms:created xsi:type="dcterms:W3CDTF">2019-12-11T12:21:00Z</dcterms:created>
  <dcterms:modified xsi:type="dcterms:W3CDTF">2019-12-11T12:21:00Z</dcterms:modified>
</cp:coreProperties>
</file>