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FF9" w:rsidRPr="00D60728" w:rsidRDefault="00387FF9" w:rsidP="00BF7DCC">
      <w:pPr>
        <w:tabs>
          <w:tab w:val="left" w:pos="5387"/>
        </w:tabs>
        <w:spacing w:line="240" w:lineRule="auto"/>
        <w:jc w:val="center"/>
        <w:rPr>
          <w:b/>
          <w:sz w:val="20"/>
          <w:szCs w:val="20"/>
        </w:rPr>
      </w:pPr>
    </w:p>
    <w:p w:rsidR="00A57DFB" w:rsidRPr="00D4336E" w:rsidRDefault="00A57DFB" w:rsidP="00BF7DCC">
      <w:pPr>
        <w:tabs>
          <w:tab w:val="left" w:pos="5387"/>
        </w:tabs>
        <w:spacing w:line="240" w:lineRule="auto"/>
        <w:jc w:val="center"/>
        <w:rPr>
          <w:b/>
          <w:sz w:val="28"/>
          <w:szCs w:val="28"/>
        </w:rPr>
      </w:pPr>
      <w:r w:rsidRPr="00D4336E">
        <w:rPr>
          <w:b/>
          <w:sz w:val="28"/>
          <w:szCs w:val="28"/>
        </w:rPr>
        <w:t>REPUBLIKA HRVATSKA</w:t>
      </w:r>
    </w:p>
    <w:p w:rsidR="00A57DFB" w:rsidRPr="00D4336E" w:rsidRDefault="00A57DFB" w:rsidP="00BF7DCC">
      <w:pPr>
        <w:tabs>
          <w:tab w:val="left" w:pos="5387"/>
        </w:tabs>
        <w:spacing w:line="240" w:lineRule="auto"/>
        <w:jc w:val="center"/>
        <w:rPr>
          <w:b/>
          <w:sz w:val="28"/>
          <w:szCs w:val="28"/>
        </w:rPr>
      </w:pPr>
      <w:r w:rsidRPr="00D4336E">
        <w:rPr>
          <w:b/>
          <w:sz w:val="28"/>
          <w:szCs w:val="28"/>
        </w:rPr>
        <w:t>MINISTARSTVO ZAŠTITE OKOLIŠA I ENERGETIKE</w:t>
      </w:r>
    </w:p>
    <w:p w:rsidR="00A57DFB" w:rsidRPr="00D4336E" w:rsidRDefault="00A57DFB" w:rsidP="00A77C3E">
      <w:pPr>
        <w:tabs>
          <w:tab w:val="left" w:pos="5387"/>
        </w:tabs>
        <w:spacing w:line="240" w:lineRule="auto"/>
        <w:rPr>
          <w:sz w:val="28"/>
          <w:szCs w:val="28"/>
        </w:rPr>
      </w:pPr>
    </w:p>
    <w:p w:rsidR="00A57DFB" w:rsidRPr="00D4336E" w:rsidRDefault="00A57DFB" w:rsidP="00BF7DCC">
      <w:pPr>
        <w:tabs>
          <w:tab w:val="left" w:pos="5387"/>
        </w:tabs>
        <w:spacing w:line="240" w:lineRule="auto"/>
        <w:rPr>
          <w:sz w:val="28"/>
          <w:szCs w:val="28"/>
        </w:rPr>
      </w:pPr>
    </w:p>
    <w:p w:rsidR="00A57DFB" w:rsidRPr="00D4336E" w:rsidRDefault="00A57DFB" w:rsidP="00BF7DCC">
      <w:pPr>
        <w:tabs>
          <w:tab w:val="left" w:pos="5387"/>
        </w:tabs>
        <w:spacing w:line="240" w:lineRule="auto"/>
        <w:rPr>
          <w:sz w:val="28"/>
          <w:szCs w:val="28"/>
        </w:rPr>
      </w:pPr>
    </w:p>
    <w:p w:rsidR="00A57DFB" w:rsidRPr="00D4336E" w:rsidRDefault="00A57DFB" w:rsidP="00BF7DCC">
      <w:pPr>
        <w:tabs>
          <w:tab w:val="left" w:pos="5387"/>
        </w:tabs>
        <w:spacing w:line="240" w:lineRule="auto"/>
        <w:rPr>
          <w:sz w:val="28"/>
          <w:szCs w:val="28"/>
        </w:rPr>
      </w:pPr>
    </w:p>
    <w:p w:rsidR="00A57DFB" w:rsidRPr="00D4336E" w:rsidRDefault="00A57DFB" w:rsidP="00BF7DCC">
      <w:pPr>
        <w:tabs>
          <w:tab w:val="left" w:pos="5387"/>
        </w:tabs>
        <w:spacing w:line="240" w:lineRule="auto"/>
        <w:rPr>
          <w:sz w:val="28"/>
          <w:szCs w:val="28"/>
        </w:rPr>
      </w:pPr>
    </w:p>
    <w:p w:rsidR="00D4336E" w:rsidRDefault="00D4336E" w:rsidP="00BF7DCC">
      <w:pPr>
        <w:tabs>
          <w:tab w:val="left" w:pos="5387"/>
        </w:tabs>
        <w:spacing w:line="240" w:lineRule="auto"/>
        <w:jc w:val="right"/>
        <w:rPr>
          <w:b/>
          <w:sz w:val="28"/>
          <w:szCs w:val="28"/>
        </w:rPr>
      </w:pPr>
    </w:p>
    <w:p w:rsidR="00A57DFB" w:rsidRPr="00D4336E" w:rsidRDefault="00A57DFB" w:rsidP="00BF7DCC">
      <w:pPr>
        <w:tabs>
          <w:tab w:val="left" w:pos="5387"/>
        </w:tabs>
        <w:spacing w:line="240" w:lineRule="auto"/>
        <w:jc w:val="right"/>
        <w:rPr>
          <w:b/>
          <w:sz w:val="28"/>
          <w:szCs w:val="28"/>
        </w:rPr>
      </w:pPr>
      <w:r w:rsidRPr="00D4336E">
        <w:rPr>
          <w:b/>
          <w:sz w:val="28"/>
          <w:szCs w:val="28"/>
        </w:rPr>
        <w:t>NACRT</w:t>
      </w:r>
    </w:p>
    <w:p w:rsidR="00A57DFB" w:rsidRPr="00D4336E" w:rsidRDefault="00A57DFB" w:rsidP="00BF7DCC">
      <w:pPr>
        <w:tabs>
          <w:tab w:val="left" w:pos="5387"/>
        </w:tabs>
        <w:spacing w:line="240" w:lineRule="auto"/>
        <w:rPr>
          <w:sz w:val="28"/>
          <w:szCs w:val="28"/>
        </w:rPr>
      </w:pPr>
    </w:p>
    <w:p w:rsidR="00A57DFB" w:rsidRPr="00D4336E" w:rsidRDefault="00A57DFB" w:rsidP="00BF7DCC">
      <w:pPr>
        <w:tabs>
          <w:tab w:val="left" w:pos="5387"/>
        </w:tabs>
        <w:spacing w:line="240" w:lineRule="auto"/>
        <w:rPr>
          <w:sz w:val="28"/>
          <w:szCs w:val="28"/>
        </w:rPr>
      </w:pPr>
    </w:p>
    <w:p w:rsidR="00A57DFB" w:rsidRPr="00D4336E" w:rsidRDefault="00A57DFB" w:rsidP="00BF7DCC">
      <w:pPr>
        <w:tabs>
          <w:tab w:val="left" w:pos="5387"/>
        </w:tabs>
        <w:spacing w:line="240" w:lineRule="auto"/>
        <w:rPr>
          <w:sz w:val="28"/>
          <w:szCs w:val="28"/>
        </w:rPr>
      </w:pPr>
    </w:p>
    <w:p w:rsidR="00A57DFB" w:rsidRPr="00D4336E" w:rsidRDefault="00A57DFB" w:rsidP="00BF7DCC">
      <w:pPr>
        <w:tabs>
          <w:tab w:val="left" w:pos="5387"/>
        </w:tabs>
        <w:spacing w:line="240" w:lineRule="auto"/>
        <w:rPr>
          <w:sz w:val="28"/>
          <w:szCs w:val="28"/>
        </w:rPr>
      </w:pPr>
    </w:p>
    <w:p w:rsidR="00A57DFB" w:rsidRDefault="00A57DFB" w:rsidP="00BF7DCC">
      <w:pPr>
        <w:tabs>
          <w:tab w:val="left" w:pos="5387"/>
        </w:tabs>
        <w:spacing w:line="240" w:lineRule="auto"/>
        <w:rPr>
          <w:sz w:val="28"/>
          <w:szCs w:val="28"/>
        </w:rPr>
      </w:pPr>
    </w:p>
    <w:p w:rsidR="009D0F33" w:rsidRDefault="009D0F33" w:rsidP="00BF7DCC">
      <w:pPr>
        <w:tabs>
          <w:tab w:val="left" w:pos="5387"/>
        </w:tabs>
        <w:spacing w:line="240" w:lineRule="auto"/>
        <w:rPr>
          <w:sz w:val="28"/>
          <w:szCs w:val="28"/>
        </w:rPr>
      </w:pPr>
    </w:p>
    <w:p w:rsidR="009D0F33" w:rsidRDefault="009D0F33" w:rsidP="00BF7DCC">
      <w:pPr>
        <w:tabs>
          <w:tab w:val="left" w:pos="5387"/>
        </w:tabs>
        <w:spacing w:line="240" w:lineRule="auto"/>
        <w:rPr>
          <w:sz w:val="28"/>
          <w:szCs w:val="28"/>
        </w:rPr>
      </w:pPr>
    </w:p>
    <w:p w:rsidR="009D0F33" w:rsidRDefault="009D0F33" w:rsidP="00BF7DCC">
      <w:pPr>
        <w:tabs>
          <w:tab w:val="left" w:pos="5387"/>
        </w:tabs>
        <w:spacing w:line="240" w:lineRule="auto"/>
        <w:rPr>
          <w:sz w:val="28"/>
          <w:szCs w:val="28"/>
        </w:rPr>
      </w:pPr>
    </w:p>
    <w:p w:rsidR="009D0F33" w:rsidRDefault="009D0F33" w:rsidP="00BF7DCC">
      <w:pPr>
        <w:tabs>
          <w:tab w:val="left" w:pos="5387"/>
        </w:tabs>
        <w:spacing w:line="240" w:lineRule="auto"/>
        <w:rPr>
          <w:sz w:val="28"/>
          <w:szCs w:val="28"/>
        </w:rPr>
      </w:pPr>
    </w:p>
    <w:p w:rsidR="00A57DFB" w:rsidRPr="00D4336E" w:rsidRDefault="00A57DFB" w:rsidP="00BF7DCC">
      <w:pPr>
        <w:tabs>
          <w:tab w:val="left" w:pos="5387"/>
        </w:tabs>
        <w:spacing w:line="240" w:lineRule="auto"/>
        <w:rPr>
          <w:sz w:val="28"/>
          <w:szCs w:val="28"/>
        </w:rPr>
      </w:pPr>
    </w:p>
    <w:p w:rsidR="00A57DFB" w:rsidRPr="00D4336E" w:rsidRDefault="00A57DFB" w:rsidP="00BF7DCC">
      <w:pPr>
        <w:tabs>
          <w:tab w:val="left" w:pos="5387"/>
        </w:tabs>
        <w:spacing w:line="240" w:lineRule="auto"/>
        <w:rPr>
          <w:sz w:val="28"/>
          <w:szCs w:val="28"/>
        </w:rPr>
      </w:pPr>
    </w:p>
    <w:p w:rsidR="00A57DFB" w:rsidRPr="00D4336E" w:rsidRDefault="004E4598" w:rsidP="00BF7DCC">
      <w:pPr>
        <w:spacing w:line="240" w:lineRule="auto"/>
        <w:jc w:val="center"/>
        <w:rPr>
          <w:b/>
          <w:sz w:val="28"/>
          <w:szCs w:val="28"/>
        </w:rPr>
      </w:pPr>
      <w:r w:rsidRPr="00D4336E">
        <w:rPr>
          <w:b/>
          <w:sz w:val="28"/>
          <w:szCs w:val="28"/>
        </w:rPr>
        <w:t>AKCIJSKI PLAN PROVEDBE STRATEGIJE</w:t>
      </w:r>
      <w:r w:rsidR="00A57DFB" w:rsidRPr="00D4336E">
        <w:rPr>
          <w:b/>
          <w:sz w:val="28"/>
          <w:szCs w:val="28"/>
        </w:rPr>
        <w:t xml:space="preserve"> NISKOUGLJIČNOG RAZVOJA REPUBLIKE HRVATSKE</w:t>
      </w:r>
    </w:p>
    <w:p w:rsidR="00A57DFB" w:rsidRPr="00D4336E" w:rsidRDefault="00D4336E" w:rsidP="00BF7DCC">
      <w:pPr>
        <w:spacing w:line="240" w:lineRule="auto"/>
        <w:jc w:val="center"/>
        <w:rPr>
          <w:sz w:val="28"/>
          <w:szCs w:val="28"/>
        </w:rPr>
      </w:pPr>
      <w:r w:rsidRPr="00D4336E">
        <w:rPr>
          <w:b/>
          <w:sz w:val="28"/>
          <w:szCs w:val="28"/>
        </w:rPr>
        <w:t>OD 2021</w:t>
      </w:r>
      <w:r w:rsidR="004E4598" w:rsidRPr="00D4336E">
        <w:rPr>
          <w:b/>
          <w:sz w:val="28"/>
          <w:szCs w:val="28"/>
        </w:rPr>
        <w:t xml:space="preserve">. </w:t>
      </w:r>
      <w:r w:rsidR="00A57DFB" w:rsidRPr="00D4336E">
        <w:rPr>
          <w:b/>
          <w:sz w:val="28"/>
          <w:szCs w:val="28"/>
        </w:rPr>
        <w:t>DO 20</w:t>
      </w:r>
      <w:r w:rsidR="004E4598" w:rsidRPr="00D4336E">
        <w:rPr>
          <w:b/>
          <w:sz w:val="28"/>
          <w:szCs w:val="28"/>
        </w:rPr>
        <w:t>2</w:t>
      </w:r>
      <w:r w:rsidRPr="00D4336E">
        <w:rPr>
          <w:b/>
          <w:sz w:val="28"/>
          <w:szCs w:val="28"/>
        </w:rPr>
        <w:t>5</w:t>
      </w:r>
      <w:r w:rsidR="00A57DFB" w:rsidRPr="00D4336E">
        <w:rPr>
          <w:b/>
          <w:sz w:val="28"/>
          <w:szCs w:val="28"/>
        </w:rPr>
        <w:t xml:space="preserve">. </w:t>
      </w:r>
      <w:r w:rsidRPr="00D4336E">
        <w:rPr>
          <w:b/>
          <w:sz w:val="28"/>
          <w:szCs w:val="28"/>
        </w:rPr>
        <w:t>GODINE</w:t>
      </w:r>
    </w:p>
    <w:p w:rsidR="00A57DFB" w:rsidRPr="00D60728" w:rsidRDefault="00A57DFB" w:rsidP="00BF7DCC">
      <w:pPr>
        <w:tabs>
          <w:tab w:val="left" w:pos="5387"/>
        </w:tabs>
        <w:spacing w:line="240" w:lineRule="auto"/>
        <w:rPr>
          <w:sz w:val="20"/>
          <w:szCs w:val="20"/>
        </w:rPr>
      </w:pPr>
    </w:p>
    <w:p w:rsidR="00A57DFB" w:rsidRPr="00D60728" w:rsidRDefault="00A57DFB" w:rsidP="00BF7DCC">
      <w:pPr>
        <w:spacing w:line="240" w:lineRule="auto"/>
        <w:jc w:val="left"/>
        <w:rPr>
          <w:sz w:val="20"/>
          <w:szCs w:val="20"/>
        </w:rPr>
      </w:pPr>
    </w:p>
    <w:p w:rsidR="00A57DFB" w:rsidRPr="00D60728" w:rsidRDefault="00A57DFB" w:rsidP="00BF7DCC">
      <w:pPr>
        <w:spacing w:line="240" w:lineRule="auto"/>
        <w:jc w:val="left"/>
        <w:rPr>
          <w:sz w:val="20"/>
          <w:szCs w:val="20"/>
        </w:rPr>
      </w:pPr>
    </w:p>
    <w:p w:rsidR="00A57DFB" w:rsidRPr="00D60728" w:rsidRDefault="00A57DFB" w:rsidP="00BF7DCC">
      <w:pPr>
        <w:spacing w:line="240" w:lineRule="auto"/>
        <w:jc w:val="left"/>
        <w:rPr>
          <w:sz w:val="20"/>
          <w:szCs w:val="20"/>
        </w:rPr>
      </w:pPr>
    </w:p>
    <w:p w:rsidR="00A57DFB" w:rsidRPr="00D60728" w:rsidRDefault="00A57DFB" w:rsidP="00BF7DCC">
      <w:pPr>
        <w:spacing w:line="240" w:lineRule="auto"/>
        <w:jc w:val="left"/>
        <w:rPr>
          <w:sz w:val="20"/>
          <w:szCs w:val="20"/>
        </w:rPr>
      </w:pPr>
    </w:p>
    <w:p w:rsidR="00A57DFB" w:rsidRPr="00D60728" w:rsidRDefault="00A57DFB" w:rsidP="00BF7DCC">
      <w:pPr>
        <w:spacing w:line="240" w:lineRule="auto"/>
        <w:jc w:val="left"/>
        <w:rPr>
          <w:sz w:val="20"/>
          <w:szCs w:val="20"/>
        </w:rPr>
      </w:pPr>
    </w:p>
    <w:p w:rsidR="00A57DFB" w:rsidRPr="00D60728" w:rsidRDefault="00A57DFB" w:rsidP="00BF7DCC">
      <w:pPr>
        <w:spacing w:line="240" w:lineRule="auto"/>
        <w:jc w:val="left"/>
        <w:rPr>
          <w:sz w:val="20"/>
          <w:szCs w:val="20"/>
        </w:rPr>
      </w:pPr>
    </w:p>
    <w:p w:rsidR="00A57DFB" w:rsidRPr="00D60728" w:rsidRDefault="00A57DFB" w:rsidP="00BF7DCC">
      <w:pPr>
        <w:spacing w:line="240" w:lineRule="auto"/>
        <w:jc w:val="left"/>
        <w:rPr>
          <w:sz w:val="20"/>
          <w:szCs w:val="20"/>
        </w:rPr>
      </w:pPr>
    </w:p>
    <w:p w:rsidR="00A57DFB" w:rsidRPr="00D60728" w:rsidRDefault="00A57DFB" w:rsidP="00BF7DCC">
      <w:pPr>
        <w:spacing w:line="240" w:lineRule="auto"/>
        <w:jc w:val="left"/>
        <w:rPr>
          <w:sz w:val="20"/>
          <w:szCs w:val="20"/>
        </w:rPr>
      </w:pPr>
    </w:p>
    <w:p w:rsidR="00387FF9" w:rsidRDefault="00387FF9" w:rsidP="00BF7DCC">
      <w:pPr>
        <w:spacing w:line="240" w:lineRule="auto"/>
        <w:jc w:val="left"/>
        <w:rPr>
          <w:sz w:val="20"/>
          <w:szCs w:val="20"/>
        </w:rPr>
      </w:pPr>
    </w:p>
    <w:p w:rsidR="00D4336E" w:rsidRDefault="00D4336E" w:rsidP="00BF7DCC">
      <w:pPr>
        <w:spacing w:line="240" w:lineRule="auto"/>
        <w:jc w:val="left"/>
        <w:rPr>
          <w:sz w:val="20"/>
          <w:szCs w:val="20"/>
        </w:rPr>
      </w:pPr>
    </w:p>
    <w:p w:rsidR="00D4336E" w:rsidRPr="00D60728" w:rsidRDefault="00D4336E" w:rsidP="00BF7DCC">
      <w:pPr>
        <w:spacing w:line="240" w:lineRule="auto"/>
        <w:jc w:val="left"/>
        <w:rPr>
          <w:sz w:val="20"/>
          <w:szCs w:val="20"/>
        </w:rPr>
      </w:pPr>
    </w:p>
    <w:p w:rsidR="00A57DFB" w:rsidRPr="00D60728" w:rsidRDefault="00A57DFB" w:rsidP="00BF7DCC">
      <w:pPr>
        <w:spacing w:line="240" w:lineRule="auto"/>
        <w:jc w:val="left"/>
        <w:rPr>
          <w:sz w:val="20"/>
          <w:szCs w:val="20"/>
        </w:rPr>
      </w:pPr>
    </w:p>
    <w:p w:rsidR="00A57DFB" w:rsidRPr="00D60728" w:rsidRDefault="00A57DFB" w:rsidP="00BF7DCC">
      <w:pPr>
        <w:spacing w:line="240" w:lineRule="auto"/>
        <w:jc w:val="left"/>
        <w:rPr>
          <w:sz w:val="20"/>
          <w:szCs w:val="20"/>
        </w:rPr>
      </w:pPr>
    </w:p>
    <w:p w:rsidR="00A57DFB" w:rsidRDefault="00A57DFB" w:rsidP="00BF7DCC">
      <w:pPr>
        <w:spacing w:line="240" w:lineRule="auto"/>
        <w:jc w:val="left"/>
        <w:rPr>
          <w:sz w:val="20"/>
          <w:szCs w:val="20"/>
        </w:rPr>
      </w:pPr>
    </w:p>
    <w:p w:rsidR="00D4336E" w:rsidRDefault="00D4336E" w:rsidP="00BF7DCC">
      <w:pPr>
        <w:spacing w:line="240" w:lineRule="auto"/>
        <w:jc w:val="left"/>
        <w:rPr>
          <w:sz w:val="20"/>
          <w:szCs w:val="20"/>
        </w:rPr>
      </w:pPr>
    </w:p>
    <w:p w:rsidR="00D4336E" w:rsidRPr="00D60728" w:rsidRDefault="00D4336E" w:rsidP="00BF7DCC">
      <w:pPr>
        <w:spacing w:line="240" w:lineRule="auto"/>
        <w:jc w:val="left"/>
        <w:rPr>
          <w:sz w:val="20"/>
          <w:szCs w:val="20"/>
        </w:rPr>
      </w:pPr>
    </w:p>
    <w:p w:rsidR="00A57DFB" w:rsidRDefault="00A57DFB" w:rsidP="00BF7DCC">
      <w:pPr>
        <w:spacing w:line="240" w:lineRule="auto"/>
        <w:jc w:val="left"/>
        <w:rPr>
          <w:sz w:val="20"/>
          <w:szCs w:val="20"/>
        </w:rPr>
      </w:pPr>
    </w:p>
    <w:p w:rsidR="009D0F33" w:rsidRDefault="009D0F33" w:rsidP="00BF7DCC">
      <w:pPr>
        <w:spacing w:line="240" w:lineRule="auto"/>
        <w:jc w:val="left"/>
        <w:rPr>
          <w:sz w:val="20"/>
          <w:szCs w:val="20"/>
        </w:rPr>
      </w:pPr>
    </w:p>
    <w:p w:rsidR="009D0F33" w:rsidRDefault="009D0F33" w:rsidP="00BF7DCC">
      <w:pPr>
        <w:spacing w:line="240" w:lineRule="auto"/>
        <w:jc w:val="left"/>
        <w:rPr>
          <w:sz w:val="20"/>
          <w:szCs w:val="20"/>
        </w:rPr>
      </w:pPr>
    </w:p>
    <w:p w:rsidR="009D0F33" w:rsidRPr="00D60728" w:rsidRDefault="009D0F33" w:rsidP="00BF7DCC">
      <w:pPr>
        <w:spacing w:line="240" w:lineRule="auto"/>
        <w:jc w:val="left"/>
        <w:rPr>
          <w:sz w:val="20"/>
          <w:szCs w:val="20"/>
        </w:rPr>
      </w:pPr>
    </w:p>
    <w:p w:rsidR="0069483F" w:rsidRPr="00D60728" w:rsidRDefault="0069483F" w:rsidP="00BF7DCC">
      <w:pPr>
        <w:spacing w:line="240" w:lineRule="auto"/>
        <w:jc w:val="left"/>
        <w:rPr>
          <w:sz w:val="20"/>
          <w:szCs w:val="20"/>
        </w:rPr>
      </w:pPr>
    </w:p>
    <w:p w:rsidR="00A57DFB" w:rsidRPr="00D60728" w:rsidRDefault="00A57DFB" w:rsidP="00BF7DCC">
      <w:pPr>
        <w:spacing w:line="240" w:lineRule="auto"/>
        <w:jc w:val="center"/>
        <w:rPr>
          <w:sz w:val="20"/>
          <w:szCs w:val="20"/>
        </w:rPr>
      </w:pPr>
      <w:r w:rsidRPr="00D60728">
        <w:rPr>
          <w:sz w:val="20"/>
          <w:szCs w:val="20"/>
        </w:rPr>
        <w:t xml:space="preserve">Zagreb, </w:t>
      </w:r>
      <w:r w:rsidR="0050395C">
        <w:rPr>
          <w:sz w:val="20"/>
          <w:szCs w:val="20"/>
        </w:rPr>
        <w:t>ožujak</w:t>
      </w:r>
      <w:r w:rsidR="004E4598" w:rsidRPr="00D60728">
        <w:rPr>
          <w:sz w:val="20"/>
          <w:szCs w:val="20"/>
        </w:rPr>
        <w:t xml:space="preserve"> </w:t>
      </w:r>
      <w:r w:rsidRPr="00D60728">
        <w:rPr>
          <w:sz w:val="20"/>
          <w:szCs w:val="20"/>
        </w:rPr>
        <w:t>20</w:t>
      </w:r>
      <w:r w:rsidR="00D4336E">
        <w:rPr>
          <w:sz w:val="20"/>
          <w:szCs w:val="20"/>
        </w:rPr>
        <w:t>20</w:t>
      </w:r>
      <w:r w:rsidRPr="00D60728">
        <w:rPr>
          <w:sz w:val="20"/>
          <w:szCs w:val="20"/>
        </w:rPr>
        <w:t>.</w:t>
      </w:r>
    </w:p>
    <w:p w:rsidR="00A57DFB" w:rsidRPr="00D60728" w:rsidRDefault="00A57DFB" w:rsidP="00BF7DCC">
      <w:pPr>
        <w:pStyle w:val="Caption"/>
        <w:spacing w:after="0" w:line="240" w:lineRule="auto"/>
        <w:rPr>
          <w:sz w:val="20"/>
          <w:szCs w:val="20"/>
        </w:rPr>
      </w:pPr>
    </w:p>
    <w:p w:rsidR="00387FF9" w:rsidRPr="00D60728" w:rsidRDefault="00387FF9" w:rsidP="00BF7DCC">
      <w:pPr>
        <w:spacing w:line="240" w:lineRule="auto"/>
        <w:rPr>
          <w:b/>
          <w:sz w:val="20"/>
          <w:szCs w:val="20"/>
        </w:rPr>
        <w:sectPr w:rsidR="00387FF9" w:rsidRPr="00D60728" w:rsidSect="008D078A">
          <w:headerReference w:type="default" r:id="rId8"/>
          <w:pgSz w:w="11906" w:h="16838" w:code="9"/>
          <w:pgMar w:top="1701" w:right="1418" w:bottom="1418" w:left="1418" w:header="624" w:footer="624" w:gutter="0"/>
          <w:pgNumType w:fmt="lowerRoman" w:start="1"/>
          <w:cols w:space="708"/>
          <w:docGrid w:linePitch="360"/>
        </w:sectPr>
      </w:pPr>
    </w:p>
    <w:p w:rsidR="00DB70B8" w:rsidRPr="00D60728" w:rsidRDefault="00DB70B8" w:rsidP="00BF7DCC">
      <w:pPr>
        <w:spacing w:line="240" w:lineRule="auto"/>
        <w:rPr>
          <w:b/>
          <w:sz w:val="20"/>
          <w:szCs w:val="20"/>
        </w:rPr>
      </w:pPr>
    </w:p>
    <w:p w:rsidR="0050395C" w:rsidRDefault="00F910CC">
      <w:pPr>
        <w:pStyle w:val="TOC1"/>
        <w:rPr>
          <w:rFonts w:asciiTheme="minorHAnsi" w:eastAsiaTheme="minorEastAsia" w:hAnsiTheme="minorHAnsi" w:cstheme="minorBidi"/>
          <w:b w:val="0"/>
          <w:bCs w:val="0"/>
          <w:iCs w:val="0"/>
          <w:noProof/>
          <w:sz w:val="22"/>
          <w:szCs w:val="22"/>
          <w:lang w:eastAsia="hr-HR"/>
        </w:rPr>
      </w:pPr>
      <w:r w:rsidRPr="009D0F33">
        <w:rPr>
          <w:rFonts w:ascii="Times New Roman" w:eastAsia="Times New Roman" w:hAnsi="Times New Roman"/>
          <w:i/>
          <w:sz w:val="28"/>
          <w:szCs w:val="28"/>
          <w:lang w:eastAsia="hr-HR"/>
        </w:rPr>
        <w:fldChar w:fldCharType="begin"/>
      </w:r>
      <w:r w:rsidRPr="009D0F33">
        <w:rPr>
          <w:rFonts w:ascii="Times New Roman" w:eastAsia="Times New Roman" w:hAnsi="Times New Roman"/>
          <w:i/>
          <w:sz w:val="28"/>
          <w:szCs w:val="28"/>
          <w:lang w:eastAsia="hr-HR"/>
        </w:rPr>
        <w:instrText xml:space="preserve"> TOC \o "1-3" \h \z \u </w:instrText>
      </w:r>
      <w:r w:rsidRPr="009D0F33">
        <w:rPr>
          <w:rFonts w:ascii="Times New Roman" w:eastAsia="Times New Roman" w:hAnsi="Times New Roman"/>
          <w:i/>
          <w:sz w:val="28"/>
          <w:szCs w:val="28"/>
          <w:lang w:eastAsia="hr-HR"/>
        </w:rPr>
        <w:fldChar w:fldCharType="separate"/>
      </w:r>
      <w:hyperlink w:anchor="_Toc34147566" w:history="1">
        <w:r w:rsidR="0050395C" w:rsidRPr="00BF5033">
          <w:rPr>
            <w:rStyle w:val="Hyperlink"/>
            <w:noProof/>
          </w:rPr>
          <w:t>1.</w:t>
        </w:r>
        <w:r w:rsidR="0050395C">
          <w:rPr>
            <w:rFonts w:asciiTheme="minorHAnsi" w:eastAsiaTheme="minorEastAsia" w:hAnsiTheme="minorHAnsi" w:cstheme="minorBidi"/>
            <w:b w:val="0"/>
            <w:bCs w:val="0"/>
            <w:iCs w:val="0"/>
            <w:noProof/>
            <w:sz w:val="22"/>
            <w:szCs w:val="22"/>
            <w:lang w:eastAsia="hr-HR"/>
          </w:rPr>
          <w:tab/>
        </w:r>
        <w:r w:rsidR="0050395C" w:rsidRPr="00BF5033">
          <w:rPr>
            <w:rStyle w:val="Hyperlink"/>
            <w:noProof/>
          </w:rPr>
          <w:t>UVOD</w:t>
        </w:r>
        <w:r w:rsidR="0050395C">
          <w:rPr>
            <w:noProof/>
            <w:webHidden/>
          </w:rPr>
          <w:tab/>
        </w:r>
        <w:r w:rsidR="0050395C">
          <w:rPr>
            <w:noProof/>
            <w:webHidden/>
          </w:rPr>
          <w:fldChar w:fldCharType="begin"/>
        </w:r>
        <w:r w:rsidR="0050395C">
          <w:rPr>
            <w:noProof/>
            <w:webHidden/>
          </w:rPr>
          <w:instrText xml:space="preserve"> PAGEREF _Toc34147566 \h </w:instrText>
        </w:r>
        <w:r w:rsidR="0050395C">
          <w:rPr>
            <w:noProof/>
            <w:webHidden/>
          </w:rPr>
        </w:r>
        <w:r w:rsidR="0050395C">
          <w:rPr>
            <w:noProof/>
            <w:webHidden/>
          </w:rPr>
          <w:fldChar w:fldCharType="separate"/>
        </w:r>
        <w:r w:rsidR="0050395C">
          <w:rPr>
            <w:rFonts w:hint="eastAsia"/>
            <w:noProof/>
            <w:webHidden/>
          </w:rPr>
          <w:t>3</w:t>
        </w:r>
        <w:r w:rsidR="0050395C">
          <w:rPr>
            <w:noProof/>
            <w:webHidden/>
          </w:rPr>
          <w:fldChar w:fldCharType="end"/>
        </w:r>
      </w:hyperlink>
    </w:p>
    <w:p w:rsidR="0050395C" w:rsidRDefault="00562A60">
      <w:pPr>
        <w:pStyle w:val="TOC1"/>
        <w:rPr>
          <w:rFonts w:asciiTheme="minorHAnsi" w:eastAsiaTheme="minorEastAsia" w:hAnsiTheme="minorHAnsi" w:cstheme="minorBidi"/>
          <w:b w:val="0"/>
          <w:bCs w:val="0"/>
          <w:iCs w:val="0"/>
          <w:noProof/>
          <w:sz w:val="22"/>
          <w:szCs w:val="22"/>
          <w:lang w:eastAsia="hr-HR"/>
        </w:rPr>
      </w:pPr>
      <w:hyperlink w:anchor="_Toc34147567" w:history="1">
        <w:r w:rsidR="0050395C" w:rsidRPr="00BF5033">
          <w:rPr>
            <w:rStyle w:val="Hyperlink"/>
            <w:noProof/>
          </w:rPr>
          <w:t>2.</w:t>
        </w:r>
        <w:r w:rsidR="0050395C">
          <w:rPr>
            <w:rFonts w:asciiTheme="minorHAnsi" w:eastAsiaTheme="minorEastAsia" w:hAnsiTheme="minorHAnsi" w:cstheme="minorBidi"/>
            <w:b w:val="0"/>
            <w:bCs w:val="0"/>
            <w:iCs w:val="0"/>
            <w:noProof/>
            <w:sz w:val="22"/>
            <w:szCs w:val="22"/>
            <w:lang w:eastAsia="hr-HR"/>
          </w:rPr>
          <w:tab/>
        </w:r>
        <w:r w:rsidR="0050395C" w:rsidRPr="00BF5033">
          <w:rPr>
            <w:rStyle w:val="Hyperlink"/>
            <w:noProof/>
          </w:rPr>
          <w:t>SAŽETAK STRATEGIJE</w:t>
        </w:r>
        <w:r w:rsidR="0050395C">
          <w:rPr>
            <w:noProof/>
            <w:webHidden/>
          </w:rPr>
          <w:tab/>
        </w:r>
        <w:r w:rsidR="0050395C">
          <w:rPr>
            <w:noProof/>
            <w:webHidden/>
          </w:rPr>
          <w:fldChar w:fldCharType="begin"/>
        </w:r>
        <w:r w:rsidR="0050395C">
          <w:rPr>
            <w:noProof/>
            <w:webHidden/>
          </w:rPr>
          <w:instrText xml:space="preserve"> PAGEREF _Toc34147567 \h </w:instrText>
        </w:r>
        <w:r w:rsidR="0050395C">
          <w:rPr>
            <w:noProof/>
            <w:webHidden/>
          </w:rPr>
        </w:r>
        <w:r w:rsidR="0050395C">
          <w:rPr>
            <w:noProof/>
            <w:webHidden/>
          </w:rPr>
          <w:fldChar w:fldCharType="separate"/>
        </w:r>
        <w:r w:rsidR="0050395C">
          <w:rPr>
            <w:rFonts w:hint="eastAsia"/>
            <w:noProof/>
            <w:webHidden/>
          </w:rPr>
          <w:t>4</w:t>
        </w:r>
        <w:r w:rsidR="0050395C">
          <w:rPr>
            <w:noProof/>
            <w:webHidden/>
          </w:rPr>
          <w:fldChar w:fldCharType="end"/>
        </w:r>
      </w:hyperlink>
    </w:p>
    <w:p w:rsidR="0050395C" w:rsidRDefault="00562A60">
      <w:pPr>
        <w:pStyle w:val="TOC1"/>
        <w:rPr>
          <w:rFonts w:asciiTheme="minorHAnsi" w:eastAsiaTheme="minorEastAsia" w:hAnsiTheme="minorHAnsi" w:cstheme="minorBidi"/>
          <w:b w:val="0"/>
          <w:bCs w:val="0"/>
          <w:iCs w:val="0"/>
          <w:noProof/>
          <w:sz w:val="22"/>
          <w:szCs w:val="22"/>
          <w:lang w:eastAsia="hr-HR"/>
        </w:rPr>
      </w:pPr>
      <w:hyperlink w:anchor="_Toc34147568" w:history="1">
        <w:r w:rsidR="0050395C" w:rsidRPr="00BF5033">
          <w:rPr>
            <w:rStyle w:val="Hyperlink"/>
            <w:noProof/>
          </w:rPr>
          <w:t>3.</w:t>
        </w:r>
        <w:r w:rsidR="0050395C">
          <w:rPr>
            <w:rFonts w:asciiTheme="minorHAnsi" w:eastAsiaTheme="minorEastAsia" w:hAnsiTheme="minorHAnsi" w:cstheme="minorBidi"/>
            <w:b w:val="0"/>
            <w:bCs w:val="0"/>
            <w:iCs w:val="0"/>
            <w:noProof/>
            <w:sz w:val="22"/>
            <w:szCs w:val="22"/>
            <w:lang w:eastAsia="hr-HR"/>
          </w:rPr>
          <w:tab/>
        </w:r>
        <w:r w:rsidR="0050395C" w:rsidRPr="00BF5033">
          <w:rPr>
            <w:rStyle w:val="Hyperlink"/>
            <w:noProof/>
          </w:rPr>
          <w:t>MJERE I PROVEDBA</w:t>
        </w:r>
        <w:r w:rsidR="0050395C">
          <w:rPr>
            <w:noProof/>
            <w:webHidden/>
          </w:rPr>
          <w:tab/>
        </w:r>
        <w:r w:rsidR="0050395C">
          <w:rPr>
            <w:noProof/>
            <w:webHidden/>
          </w:rPr>
          <w:fldChar w:fldCharType="begin"/>
        </w:r>
        <w:r w:rsidR="0050395C">
          <w:rPr>
            <w:noProof/>
            <w:webHidden/>
          </w:rPr>
          <w:instrText xml:space="preserve"> PAGEREF _Toc34147568 \h </w:instrText>
        </w:r>
        <w:r w:rsidR="0050395C">
          <w:rPr>
            <w:noProof/>
            <w:webHidden/>
          </w:rPr>
        </w:r>
        <w:r w:rsidR="0050395C">
          <w:rPr>
            <w:noProof/>
            <w:webHidden/>
          </w:rPr>
          <w:fldChar w:fldCharType="separate"/>
        </w:r>
        <w:r w:rsidR="0050395C">
          <w:rPr>
            <w:rFonts w:hint="eastAsia"/>
            <w:noProof/>
            <w:webHidden/>
          </w:rPr>
          <w:t>10</w:t>
        </w:r>
        <w:r w:rsidR="0050395C">
          <w:rPr>
            <w:noProof/>
            <w:webHidden/>
          </w:rPr>
          <w:fldChar w:fldCharType="end"/>
        </w:r>
      </w:hyperlink>
    </w:p>
    <w:p w:rsidR="0050395C" w:rsidRDefault="00562A60">
      <w:pPr>
        <w:pStyle w:val="TOC3"/>
        <w:tabs>
          <w:tab w:val="left" w:pos="1200"/>
          <w:tab w:val="right" w:leader="dot" w:pos="9060"/>
        </w:tabs>
        <w:rPr>
          <w:rFonts w:asciiTheme="minorHAnsi" w:eastAsiaTheme="minorEastAsia" w:hAnsiTheme="minorHAnsi" w:cstheme="minorBidi"/>
          <w:noProof/>
          <w:szCs w:val="22"/>
          <w:lang w:eastAsia="hr-HR"/>
        </w:rPr>
      </w:pPr>
      <w:hyperlink w:anchor="_Toc34147569" w:history="1">
        <w:r w:rsidR="0050395C" w:rsidRPr="00BF5033">
          <w:rPr>
            <w:rStyle w:val="Hyperlink"/>
            <w:noProof/>
          </w:rPr>
          <w:t>3.3.1.</w:t>
        </w:r>
        <w:r w:rsidR="0050395C">
          <w:rPr>
            <w:rFonts w:asciiTheme="minorHAnsi" w:eastAsiaTheme="minorEastAsia" w:hAnsiTheme="minorHAnsi" w:cstheme="minorBidi"/>
            <w:noProof/>
            <w:szCs w:val="22"/>
            <w:lang w:eastAsia="hr-HR"/>
          </w:rPr>
          <w:tab/>
        </w:r>
        <w:r w:rsidR="0050395C" w:rsidRPr="00BF5033">
          <w:rPr>
            <w:rStyle w:val="Hyperlink"/>
            <w:noProof/>
          </w:rPr>
          <w:t>Energetika</w:t>
        </w:r>
        <w:r w:rsidR="0050395C">
          <w:rPr>
            <w:noProof/>
            <w:webHidden/>
          </w:rPr>
          <w:tab/>
        </w:r>
        <w:r w:rsidR="0050395C">
          <w:rPr>
            <w:noProof/>
            <w:webHidden/>
          </w:rPr>
          <w:fldChar w:fldCharType="begin"/>
        </w:r>
        <w:r w:rsidR="0050395C">
          <w:rPr>
            <w:noProof/>
            <w:webHidden/>
          </w:rPr>
          <w:instrText xml:space="preserve"> PAGEREF _Toc34147569 \h </w:instrText>
        </w:r>
        <w:r w:rsidR="0050395C">
          <w:rPr>
            <w:noProof/>
            <w:webHidden/>
          </w:rPr>
        </w:r>
        <w:r w:rsidR="0050395C">
          <w:rPr>
            <w:noProof/>
            <w:webHidden/>
          </w:rPr>
          <w:fldChar w:fldCharType="separate"/>
        </w:r>
        <w:r w:rsidR="0050395C">
          <w:rPr>
            <w:noProof/>
            <w:webHidden/>
          </w:rPr>
          <w:t>14</w:t>
        </w:r>
        <w:r w:rsidR="0050395C">
          <w:rPr>
            <w:noProof/>
            <w:webHidden/>
          </w:rPr>
          <w:fldChar w:fldCharType="end"/>
        </w:r>
      </w:hyperlink>
    </w:p>
    <w:p w:rsidR="0050395C" w:rsidRDefault="00562A60">
      <w:pPr>
        <w:pStyle w:val="TOC3"/>
        <w:tabs>
          <w:tab w:val="left" w:pos="1200"/>
          <w:tab w:val="right" w:leader="dot" w:pos="9060"/>
        </w:tabs>
        <w:rPr>
          <w:rFonts w:asciiTheme="minorHAnsi" w:eastAsiaTheme="minorEastAsia" w:hAnsiTheme="minorHAnsi" w:cstheme="minorBidi"/>
          <w:noProof/>
          <w:szCs w:val="22"/>
          <w:lang w:eastAsia="hr-HR"/>
        </w:rPr>
      </w:pPr>
      <w:hyperlink w:anchor="_Toc34147570" w:history="1">
        <w:r w:rsidR="0050395C" w:rsidRPr="00BF5033">
          <w:rPr>
            <w:rStyle w:val="Hyperlink"/>
            <w:noProof/>
          </w:rPr>
          <w:t>3.3.2.</w:t>
        </w:r>
        <w:r w:rsidR="0050395C">
          <w:rPr>
            <w:rFonts w:asciiTheme="minorHAnsi" w:eastAsiaTheme="minorEastAsia" w:hAnsiTheme="minorHAnsi" w:cstheme="minorBidi"/>
            <w:noProof/>
            <w:szCs w:val="22"/>
            <w:lang w:eastAsia="hr-HR"/>
          </w:rPr>
          <w:tab/>
        </w:r>
        <w:r w:rsidR="0050395C" w:rsidRPr="00BF5033">
          <w:rPr>
            <w:rStyle w:val="Hyperlink"/>
            <w:noProof/>
          </w:rPr>
          <w:t>Promet</w:t>
        </w:r>
        <w:r w:rsidR="0050395C">
          <w:rPr>
            <w:noProof/>
            <w:webHidden/>
          </w:rPr>
          <w:tab/>
        </w:r>
        <w:r w:rsidR="0050395C">
          <w:rPr>
            <w:noProof/>
            <w:webHidden/>
          </w:rPr>
          <w:fldChar w:fldCharType="begin"/>
        </w:r>
        <w:r w:rsidR="0050395C">
          <w:rPr>
            <w:noProof/>
            <w:webHidden/>
          </w:rPr>
          <w:instrText xml:space="preserve"> PAGEREF _Toc34147570 \h </w:instrText>
        </w:r>
        <w:r w:rsidR="0050395C">
          <w:rPr>
            <w:noProof/>
            <w:webHidden/>
          </w:rPr>
        </w:r>
        <w:r w:rsidR="0050395C">
          <w:rPr>
            <w:noProof/>
            <w:webHidden/>
          </w:rPr>
          <w:fldChar w:fldCharType="separate"/>
        </w:r>
        <w:r w:rsidR="0050395C">
          <w:rPr>
            <w:noProof/>
            <w:webHidden/>
          </w:rPr>
          <w:t>43</w:t>
        </w:r>
        <w:r w:rsidR="0050395C">
          <w:rPr>
            <w:noProof/>
            <w:webHidden/>
          </w:rPr>
          <w:fldChar w:fldCharType="end"/>
        </w:r>
      </w:hyperlink>
    </w:p>
    <w:p w:rsidR="0050395C" w:rsidRDefault="00562A60">
      <w:pPr>
        <w:pStyle w:val="TOC3"/>
        <w:tabs>
          <w:tab w:val="left" w:pos="1200"/>
          <w:tab w:val="right" w:leader="dot" w:pos="9060"/>
        </w:tabs>
        <w:rPr>
          <w:rFonts w:asciiTheme="minorHAnsi" w:eastAsiaTheme="minorEastAsia" w:hAnsiTheme="minorHAnsi" w:cstheme="minorBidi"/>
          <w:noProof/>
          <w:szCs w:val="22"/>
          <w:lang w:eastAsia="hr-HR"/>
        </w:rPr>
      </w:pPr>
      <w:hyperlink w:anchor="_Toc34147571" w:history="1">
        <w:r w:rsidR="0050395C" w:rsidRPr="00BF5033">
          <w:rPr>
            <w:rStyle w:val="Hyperlink"/>
            <w:noProof/>
          </w:rPr>
          <w:t>3.3.3.</w:t>
        </w:r>
        <w:r w:rsidR="0050395C">
          <w:rPr>
            <w:rFonts w:asciiTheme="minorHAnsi" w:eastAsiaTheme="minorEastAsia" w:hAnsiTheme="minorHAnsi" w:cstheme="minorBidi"/>
            <w:noProof/>
            <w:szCs w:val="22"/>
            <w:lang w:eastAsia="hr-HR"/>
          </w:rPr>
          <w:tab/>
        </w:r>
        <w:r w:rsidR="0050395C" w:rsidRPr="00BF5033">
          <w:rPr>
            <w:rStyle w:val="Hyperlink"/>
            <w:noProof/>
          </w:rPr>
          <w:t>Industrija</w:t>
        </w:r>
        <w:r w:rsidR="0050395C">
          <w:rPr>
            <w:noProof/>
            <w:webHidden/>
          </w:rPr>
          <w:tab/>
        </w:r>
        <w:r w:rsidR="0050395C">
          <w:rPr>
            <w:noProof/>
            <w:webHidden/>
          </w:rPr>
          <w:fldChar w:fldCharType="begin"/>
        </w:r>
        <w:r w:rsidR="0050395C">
          <w:rPr>
            <w:noProof/>
            <w:webHidden/>
          </w:rPr>
          <w:instrText xml:space="preserve"> PAGEREF _Toc34147571 \h </w:instrText>
        </w:r>
        <w:r w:rsidR="0050395C">
          <w:rPr>
            <w:noProof/>
            <w:webHidden/>
          </w:rPr>
        </w:r>
        <w:r w:rsidR="0050395C">
          <w:rPr>
            <w:noProof/>
            <w:webHidden/>
          </w:rPr>
          <w:fldChar w:fldCharType="separate"/>
        </w:r>
        <w:r w:rsidR="0050395C">
          <w:rPr>
            <w:noProof/>
            <w:webHidden/>
          </w:rPr>
          <w:t>56</w:t>
        </w:r>
        <w:r w:rsidR="0050395C">
          <w:rPr>
            <w:noProof/>
            <w:webHidden/>
          </w:rPr>
          <w:fldChar w:fldCharType="end"/>
        </w:r>
      </w:hyperlink>
    </w:p>
    <w:p w:rsidR="0050395C" w:rsidRDefault="00562A60">
      <w:pPr>
        <w:pStyle w:val="TOC3"/>
        <w:tabs>
          <w:tab w:val="left" w:pos="1200"/>
          <w:tab w:val="right" w:leader="dot" w:pos="9060"/>
        </w:tabs>
        <w:rPr>
          <w:rFonts w:asciiTheme="minorHAnsi" w:eastAsiaTheme="minorEastAsia" w:hAnsiTheme="minorHAnsi" w:cstheme="minorBidi"/>
          <w:noProof/>
          <w:szCs w:val="22"/>
          <w:lang w:eastAsia="hr-HR"/>
        </w:rPr>
      </w:pPr>
      <w:hyperlink w:anchor="_Toc34147572" w:history="1">
        <w:r w:rsidR="0050395C" w:rsidRPr="00BF5033">
          <w:rPr>
            <w:rStyle w:val="Hyperlink"/>
            <w:noProof/>
          </w:rPr>
          <w:t>3.3.4.</w:t>
        </w:r>
        <w:r w:rsidR="0050395C">
          <w:rPr>
            <w:rFonts w:asciiTheme="minorHAnsi" w:eastAsiaTheme="minorEastAsia" w:hAnsiTheme="minorHAnsi" w:cstheme="minorBidi"/>
            <w:noProof/>
            <w:szCs w:val="22"/>
            <w:lang w:eastAsia="hr-HR"/>
          </w:rPr>
          <w:tab/>
        </w:r>
        <w:r w:rsidR="0050395C" w:rsidRPr="00BF5033">
          <w:rPr>
            <w:rStyle w:val="Hyperlink"/>
            <w:noProof/>
          </w:rPr>
          <w:t>Poljoprivreda</w:t>
        </w:r>
        <w:r w:rsidR="0050395C">
          <w:rPr>
            <w:noProof/>
            <w:webHidden/>
          </w:rPr>
          <w:tab/>
        </w:r>
        <w:r w:rsidR="0050395C">
          <w:rPr>
            <w:noProof/>
            <w:webHidden/>
          </w:rPr>
          <w:fldChar w:fldCharType="begin"/>
        </w:r>
        <w:r w:rsidR="0050395C">
          <w:rPr>
            <w:noProof/>
            <w:webHidden/>
          </w:rPr>
          <w:instrText xml:space="preserve"> PAGEREF _Toc34147572 \h </w:instrText>
        </w:r>
        <w:r w:rsidR="0050395C">
          <w:rPr>
            <w:noProof/>
            <w:webHidden/>
          </w:rPr>
        </w:r>
        <w:r w:rsidR="0050395C">
          <w:rPr>
            <w:noProof/>
            <w:webHidden/>
          </w:rPr>
          <w:fldChar w:fldCharType="separate"/>
        </w:r>
        <w:r w:rsidR="0050395C">
          <w:rPr>
            <w:noProof/>
            <w:webHidden/>
          </w:rPr>
          <w:t>62</w:t>
        </w:r>
        <w:r w:rsidR="0050395C">
          <w:rPr>
            <w:noProof/>
            <w:webHidden/>
          </w:rPr>
          <w:fldChar w:fldCharType="end"/>
        </w:r>
      </w:hyperlink>
    </w:p>
    <w:p w:rsidR="0050395C" w:rsidRDefault="00562A60">
      <w:pPr>
        <w:pStyle w:val="TOC3"/>
        <w:tabs>
          <w:tab w:val="left" w:pos="1200"/>
          <w:tab w:val="right" w:leader="dot" w:pos="9060"/>
        </w:tabs>
        <w:rPr>
          <w:rFonts w:asciiTheme="minorHAnsi" w:eastAsiaTheme="minorEastAsia" w:hAnsiTheme="minorHAnsi" w:cstheme="minorBidi"/>
          <w:noProof/>
          <w:szCs w:val="22"/>
          <w:lang w:eastAsia="hr-HR"/>
        </w:rPr>
      </w:pPr>
      <w:hyperlink w:anchor="_Toc34147573" w:history="1">
        <w:r w:rsidR="0050395C" w:rsidRPr="00BF5033">
          <w:rPr>
            <w:rStyle w:val="Hyperlink"/>
            <w:noProof/>
          </w:rPr>
          <w:t>3.3.5.</w:t>
        </w:r>
        <w:r w:rsidR="0050395C">
          <w:rPr>
            <w:rFonts w:asciiTheme="minorHAnsi" w:eastAsiaTheme="minorEastAsia" w:hAnsiTheme="minorHAnsi" w:cstheme="minorBidi"/>
            <w:noProof/>
            <w:szCs w:val="22"/>
            <w:lang w:eastAsia="hr-HR"/>
          </w:rPr>
          <w:tab/>
        </w:r>
        <w:r w:rsidR="0050395C" w:rsidRPr="00BF5033">
          <w:rPr>
            <w:rStyle w:val="Hyperlink"/>
            <w:noProof/>
          </w:rPr>
          <w:t>Gospodarenje otpadom</w:t>
        </w:r>
        <w:r w:rsidR="0050395C">
          <w:rPr>
            <w:noProof/>
            <w:webHidden/>
          </w:rPr>
          <w:tab/>
        </w:r>
        <w:r w:rsidR="0050395C">
          <w:rPr>
            <w:noProof/>
            <w:webHidden/>
          </w:rPr>
          <w:fldChar w:fldCharType="begin"/>
        </w:r>
        <w:r w:rsidR="0050395C">
          <w:rPr>
            <w:noProof/>
            <w:webHidden/>
          </w:rPr>
          <w:instrText xml:space="preserve"> PAGEREF _Toc34147573 \h </w:instrText>
        </w:r>
        <w:r w:rsidR="0050395C">
          <w:rPr>
            <w:noProof/>
            <w:webHidden/>
          </w:rPr>
        </w:r>
        <w:r w:rsidR="0050395C">
          <w:rPr>
            <w:noProof/>
            <w:webHidden/>
          </w:rPr>
          <w:fldChar w:fldCharType="separate"/>
        </w:r>
        <w:r w:rsidR="0050395C">
          <w:rPr>
            <w:noProof/>
            <w:webHidden/>
          </w:rPr>
          <w:t>84</w:t>
        </w:r>
        <w:r w:rsidR="0050395C">
          <w:rPr>
            <w:noProof/>
            <w:webHidden/>
          </w:rPr>
          <w:fldChar w:fldCharType="end"/>
        </w:r>
      </w:hyperlink>
    </w:p>
    <w:p w:rsidR="0050395C" w:rsidRDefault="00562A60">
      <w:pPr>
        <w:pStyle w:val="TOC3"/>
        <w:tabs>
          <w:tab w:val="left" w:pos="1200"/>
          <w:tab w:val="right" w:leader="dot" w:pos="9060"/>
        </w:tabs>
        <w:rPr>
          <w:rFonts w:asciiTheme="minorHAnsi" w:eastAsiaTheme="minorEastAsia" w:hAnsiTheme="minorHAnsi" w:cstheme="minorBidi"/>
          <w:noProof/>
          <w:szCs w:val="22"/>
          <w:lang w:eastAsia="hr-HR"/>
        </w:rPr>
      </w:pPr>
      <w:hyperlink w:anchor="_Toc34147574" w:history="1">
        <w:r w:rsidR="0050395C" w:rsidRPr="00BF5033">
          <w:rPr>
            <w:rStyle w:val="Hyperlink"/>
            <w:noProof/>
          </w:rPr>
          <w:t>3.3.6.</w:t>
        </w:r>
        <w:r w:rsidR="0050395C">
          <w:rPr>
            <w:rFonts w:asciiTheme="minorHAnsi" w:eastAsiaTheme="minorEastAsia" w:hAnsiTheme="minorHAnsi" w:cstheme="minorBidi"/>
            <w:noProof/>
            <w:szCs w:val="22"/>
            <w:lang w:eastAsia="hr-HR"/>
          </w:rPr>
          <w:tab/>
        </w:r>
        <w:r w:rsidR="0050395C" w:rsidRPr="00BF5033">
          <w:rPr>
            <w:rStyle w:val="Hyperlink"/>
            <w:noProof/>
          </w:rPr>
          <w:t>Korištenje zemljišta, promjene u korištenju zemljišta i šumarstvo (LULUCF)</w:t>
        </w:r>
        <w:r w:rsidR="0050395C">
          <w:rPr>
            <w:noProof/>
            <w:webHidden/>
          </w:rPr>
          <w:tab/>
        </w:r>
        <w:r w:rsidR="0050395C">
          <w:rPr>
            <w:noProof/>
            <w:webHidden/>
          </w:rPr>
          <w:fldChar w:fldCharType="begin"/>
        </w:r>
        <w:r w:rsidR="0050395C">
          <w:rPr>
            <w:noProof/>
            <w:webHidden/>
          </w:rPr>
          <w:instrText xml:space="preserve"> PAGEREF _Toc34147574 \h </w:instrText>
        </w:r>
        <w:r w:rsidR="0050395C">
          <w:rPr>
            <w:noProof/>
            <w:webHidden/>
          </w:rPr>
        </w:r>
        <w:r w:rsidR="0050395C">
          <w:rPr>
            <w:noProof/>
            <w:webHidden/>
          </w:rPr>
          <w:fldChar w:fldCharType="separate"/>
        </w:r>
        <w:r w:rsidR="0050395C">
          <w:rPr>
            <w:noProof/>
            <w:webHidden/>
          </w:rPr>
          <w:t>89</w:t>
        </w:r>
        <w:r w:rsidR="0050395C">
          <w:rPr>
            <w:noProof/>
            <w:webHidden/>
          </w:rPr>
          <w:fldChar w:fldCharType="end"/>
        </w:r>
      </w:hyperlink>
    </w:p>
    <w:p w:rsidR="0050395C" w:rsidRDefault="00562A60">
      <w:pPr>
        <w:pStyle w:val="TOC3"/>
        <w:tabs>
          <w:tab w:val="left" w:pos="1200"/>
          <w:tab w:val="right" w:leader="dot" w:pos="9060"/>
        </w:tabs>
        <w:rPr>
          <w:rFonts w:asciiTheme="minorHAnsi" w:eastAsiaTheme="minorEastAsia" w:hAnsiTheme="minorHAnsi" w:cstheme="minorBidi"/>
          <w:noProof/>
          <w:szCs w:val="22"/>
          <w:lang w:eastAsia="hr-HR"/>
        </w:rPr>
      </w:pPr>
      <w:hyperlink w:anchor="_Toc34147575" w:history="1">
        <w:r w:rsidR="0050395C" w:rsidRPr="00BF5033">
          <w:rPr>
            <w:rStyle w:val="Hyperlink"/>
            <w:noProof/>
          </w:rPr>
          <w:t>3.3.7.</w:t>
        </w:r>
        <w:r w:rsidR="0050395C">
          <w:rPr>
            <w:rFonts w:asciiTheme="minorHAnsi" w:eastAsiaTheme="minorEastAsia" w:hAnsiTheme="minorHAnsi" w:cstheme="minorBidi"/>
            <w:noProof/>
            <w:szCs w:val="22"/>
            <w:lang w:eastAsia="hr-HR"/>
          </w:rPr>
          <w:tab/>
        </w:r>
        <w:r w:rsidR="0050395C" w:rsidRPr="00BF5033">
          <w:rPr>
            <w:rStyle w:val="Hyperlink"/>
            <w:noProof/>
          </w:rPr>
          <w:t>Međusektorske mjere</w:t>
        </w:r>
        <w:r w:rsidR="0050395C">
          <w:rPr>
            <w:noProof/>
            <w:webHidden/>
          </w:rPr>
          <w:tab/>
        </w:r>
        <w:r w:rsidR="0050395C">
          <w:rPr>
            <w:noProof/>
            <w:webHidden/>
          </w:rPr>
          <w:fldChar w:fldCharType="begin"/>
        </w:r>
        <w:r w:rsidR="0050395C">
          <w:rPr>
            <w:noProof/>
            <w:webHidden/>
          </w:rPr>
          <w:instrText xml:space="preserve"> PAGEREF _Toc34147575 \h </w:instrText>
        </w:r>
        <w:r w:rsidR="0050395C">
          <w:rPr>
            <w:noProof/>
            <w:webHidden/>
          </w:rPr>
        </w:r>
        <w:r w:rsidR="0050395C">
          <w:rPr>
            <w:noProof/>
            <w:webHidden/>
          </w:rPr>
          <w:fldChar w:fldCharType="separate"/>
        </w:r>
        <w:r w:rsidR="0050395C">
          <w:rPr>
            <w:noProof/>
            <w:webHidden/>
          </w:rPr>
          <w:t>98</w:t>
        </w:r>
        <w:r w:rsidR="0050395C">
          <w:rPr>
            <w:noProof/>
            <w:webHidden/>
          </w:rPr>
          <w:fldChar w:fldCharType="end"/>
        </w:r>
      </w:hyperlink>
    </w:p>
    <w:p w:rsidR="0050395C" w:rsidRDefault="00562A60">
      <w:pPr>
        <w:pStyle w:val="TOC1"/>
        <w:tabs>
          <w:tab w:val="left" w:pos="510"/>
        </w:tabs>
        <w:rPr>
          <w:rFonts w:asciiTheme="minorHAnsi" w:eastAsiaTheme="minorEastAsia" w:hAnsiTheme="minorHAnsi" w:cstheme="minorBidi"/>
          <w:b w:val="0"/>
          <w:bCs w:val="0"/>
          <w:iCs w:val="0"/>
          <w:noProof/>
          <w:sz w:val="22"/>
          <w:szCs w:val="22"/>
          <w:lang w:eastAsia="hr-HR"/>
        </w:rPr>
      </w:pPr>
      <w:hyperlink w:anchor="_Toc34147576" w:history="1">
        <w:r w:rsidR="0050395C" w:rsidRPr="00BF5033">
          <w:rPr>
            <w:rStyle w:val="Hyperlink"/>
            <w:noProof/>
          </w:rPr>
          <w:t xml:space="preserve">4. </w:t>
        </w:r>
        <w:r w:rsidR="0050395C">
          <w:rPr>
            <w:rFonts w:asciiTheme="minorHAnsi" w:eastAsiaTheme="minorEastAsia" w:hAnsiTheme="minorHAnsi" w:cstheme="minorBidi"/>
            <w:b w:val="0"/>
            <w:bCs w:val="0"/>
            <w:iCs w:val="0"/>
            <w:noProof/>
            <w:sz w:val="22"/>
            <w:szCs w:val="22"/>
            <w:lang w:eastAsia="hr-HR"/>
          </w:rPr>
          <w:tab/>
        </w:r>
        <w:r w:rsidR="0050395C" w:rsidRPr="00BF5033">
          <w:rPr>
            <w:rStyle w:val="Hyperlink"/>
            <w:noProof/>
          </w:rPr>
          <w:t>INSTITUCIONALNI OKVIR ZA PROVEDBU NISKOUGLJIČNE STRATEGIJE</w:t>
        </w:r>
        <w:r w:rsidR="0050395C">
          <w:rPr>
            <w:noProof/>
            <w:webHidden/>
          </w:rPr>
          <w:tab/>
        </w:r>
        <w:r w:rsidR="0050395C">
          <w:rPr>
            <w:noProof/>
            <w:webHidden/>
          </w:rPr>
          <w:fldChar w:fldCharType="begin"/>
        </w:r>
        <w:r w:rsidR="0050395C">
          <w:rPr>
            <w:noProof/>
            <w:webHidden/>
          </w:rPr>
          <w:instrText xml:space="preserve"> PAGEREF _Toc34147576 \h </w:instrText>
        </w:r>
        <w:r w:rsidR="0050395C">
          <w:rPr>
            <w:noProof/>
            <w:webHidden/>
          </w:rPr>
        </w:r>
        <w:r w:rsidR="0050395C">
          <w:rPr>
            <w:noProof/>
            <w:webHidden/>
          </w:rPr>
          <w:fldChar w:fldCharType="separate"/>
        </w:r>
        <w:r w:rsidR="0050395C">
          <w:rPr>
            <w:rFonts w:hint="eastAsia"/>
            <w:noProof/>
            <w:webHidden/>
          </w:rPr>
          <w:t>120</w:t>
        </w:r>
        <w:r w:rsidR="0050395C">
          <w:rPr>
            <w:noProof/>
            <w:webHidden/>
          </w:rPr>
          <w:fldChar w:fldCharType="end"/>
        </w:r>
      </w:hyperlink>
    </w:p>
    <w:p w:rsidR="0050395C" w:rsidRDefault="00562A60">
      <w:pPr>
        <w:pStyle w:val="TOC1"/>
        <w:tabs>
          <w:tab w:val="left" w:pos="510"/>
        </w:tabs>
        <w:rPr>
          <w:rFonts w:asciiTheme="minorHAnsi" w:eastAsiaTheme="minorEastAsia" w:hAnsiTheme="minorHAnsi" w:cstheme="minorBidi"/>
          <w:b w:val="0"/>
          <w:bCs w:val="0"/>
          <w:iCs w:val="0"/>
          <w:noProof/>
          <w:sz w:val="22"/>
          <w:szCs w:val="22"/>
          <w:lang w:eastAsia="hr-HR"/>
        </w:rPr>
      </w:pPr>
      <w:hyperlink w:anchor="_Toc34147577" w:history="1">
        <w:r w:rsidR="0050395C" w:rsidRPr="00BF5033">
          <w:rPr>
            <w:rStyle w:val="Hyperlink"/>
            <w:noProof/>
          </w:rPr>
          <w:t xml:space="preserve">5. </w:t>
        </w:r>
        <w:r w:rsidR="0050395C">
          <w:rPr>
            <w:rFonts w:asciiTheme="minorHAnsi" w:eastAsiaTheme="minorEastAsia" w:hAnsiTheme="minorHAnsi" w:cstheme="minorBidi"/>
            <w:b w:val="0"/>
            <w:bCs w:val="0"/>
            <w:iCs w:val="0"/>
            <w:noProof/>
            <w:sz w:val="22"/>
            <w:szCs w:val="22"/>
            <w:lang w:eastAsia="hr-HR"/>
          </w:rPr>
          <w:tab/>
        </w:r>
        <w:r w:rsidR="0050395C" w:rsidRPr="00BF5033">
          <w:rPr>
            <w:rStyle w:val="Hyperlink"/>
            <w:noProof/>
          </w:rPr>
          <w:t>POKAZATELJI PROVEDBE NISKOUGLJIČNE STRATEGIJE</w:t>
        </w:r>
        <w:r w:rsidR="0050395C">
          <w:rPr>
            <w:noProof/>
            <w:webHidden/>
          </w:rPr>
          <w:tab/>
        </w:r>
        <w:r w:rsidR="0050395C">
          <w:rPr>
            <w:noProof/>
            <w:webHidden/>
          </w:rPr>
          <w:fldChar w:fldCharType="begin"/>
        </w:r>
        <w:r w:rsidR="0050395C">
          <w:rPr>
            <w:noProof/>
            <w:webHidden/>
          </w:rPr>
          <w:instrText xml:space="preserve"> PAGEREF _Toc34147577 \h </w:instrText>
        </w:r>
        <w:r w:rsidR="0050395C">
          <w:rPr>
            <w:noProof/>
            <w:webHidden/>
          </w:rPr>
        </w:r>
        <w:r w:rsidR="0050395C">
          <w:rPr>
            <w:noProof/>
            <w:webHidden/>
          </w:rPr>
          <w:fldChar w:fldCharType="separate"/>
        </w:r>
        <w:r w:rsidR="0050395C">
          <w:rPr>
            <w:rFonts w:hint="eastAsia"/>
            <w:noProof/>
            <w:webHidden/>
          </w:rPr>
          <w:t>122</w:t>
        </w:r>
        <w:r w:rsidR="0050395C">
          <w:rPr>
            <w:noProof/>
            <w:webHidden/>
          </w:rPr>
          <w:fldChar w:fldCharType="end"/>
        </w:r>
      </w:hyperlink>
    </w:p>
    <w:p w:rsidR="0050395C" w:rsidRDefault="00562A60">
      <w:pPr>
        <w:pStyle w:val="TOC1"/>
        <w:tabs>
          <w:tab w:val="left" w:pos="510"/>
        </w:tabs>
        <w:rPr>
          <w:rFonts w:asciiTheme="minorHAnsi" w:eastAsiaTheme="minorEastAsia" w:hAnsiTheme="minorHAnsi" w:cstheme="minorBidi"/>
          <w:b w:val="0"/>
          <w:bCs w:val="0"/>
          <w:iCs w:val="0"/>
          <w:noProof/>
          <w:sz w:val="22"/>
          <w:szCs w:val="22"/>
          <w:lang w:eastAsia="hr-HR"/>
        </w:rPr>
      </w:pPr>
      <w:hyperlink w:anchor="_Toc34147578" w:history="1">
        <w:r w:rsidR="0050395C" w:rsidRPr="00BF5033">
          <w:rPr>
            <w:rStyle w:val="Hyperlink"/>
            <w:noProof/>
          </w:rPr>
          <w:t xml:space="preserve">6. </w:t>
        </w:r>
        <w:r w:rsidR="0050395C">
          <w:rPr>
            <w:rFonts w:asciiTheme="minorHAnsi" w:eastAsiaTheme="minorEastAsia" w:hAnsiTheme="minorHAnsi" w:cstheme="minorBidi"/>
            <w:b w:val="0"/>
            <w:bCs w:val="0"/>
            <w:iCs w:val="0"/>
            <w:noProof/>
            <w:sz w:val="22"/>
            <w:szCs w:val="22"/>
            <w:lang w:eastAsia="hr-HR"/>
          </w:rPr>
          <w:tab/>
        </w:r>
        <w:r w:rsidR="0050395C" w:rsidRPr="00BF5033">
          <w:rPr>
            <w:rStyle w:val="Hyperlink"/>
            <w:noProof/>
          </w:rPr>
          <w:t>IZVORI FINANCIRANJA MJERA NISKOUGLJIČNE STRATEGIJE</w:t>
        </w:r>
        <w:r w:rsidR="0050395C">
          <w:rPr>
            <w:noProof/>
            <w:webHidden/>
          </w:rPr>
          <w:tab/>
        </w:r>
        <w:r w:rsidR="0050395C">
          <w:rPr>
            <w:noProof/>
            <w:webHidden/>
          </w:rPr>
          <w:fldChar w:fldCharType="begin"/>
        </w:r>
        <w:r w:rsidR="0050395C">
          <w:rPr>
            <w:noProof/>
            <w:webHidden/>
          </w:rPr>
          <w:instrText xml:space="preserve"> PAGEREF _Toc34147578 \h </w:instrText>
        </w:r>
        <w:r w:rsidR="0050395C">
          <w:rPr>
            <w:noProof/>
            <w:webHidden/>
          </w:rPr>
        </w:r>
        <w:r w:rsidR="0050395C">
          <w:rPr>
            <w:noProof/>
            <w:webHidden/>
          </w:rPr>
          <w:fldChar w:fldCharType="separate"/>
        </w:r>
        <w:r w:rsidR="0050395C">
          <w:rPr>
            <w:rFonts w:hint="eastAsia"/>
            <w:noProof/>
            <w:webHidden/>
          </w:rPr>
          <w:t>122</w:t>
        </w:r>
        <w:r w:rsidR="0050395C">
          <w:rPr>
            <w:noProof/>
            <w:webHidden/>
          </w:rPr>
          <w:fldChar w:fldCharType="end"/>
        </w:r>
      </w:hyperlink>
    </w:p>
    <w:p w:rsidR="0050395C" w:rsidRDefault="00562A60">
      <w:pPr>
        <w:pStyle w:val="TOC1"/>
        <w:rPr>
          <w:rFonts w:asciiTheme="minorHAnsi" w:eastAsiaTheme="minorEastAsia" w:hAnsiTheme="minorHAnsi" w:cstheme="minorBidi"/>
          <w:b w:val="0"/>
          <w:bCs w:val="0"/>
          <w:iCs w:val="0"/>
          <w:noProof/>
          <w:sz w:val="22"/>
          <w:szCs w:val="22"/>
          <w:lang w:eastAsia="hr-HR"/>
        </w:rPr>
      </w:pPr>
      <w:hyperlink w:anchor="_Toc34147579" w:history="1">
        <w:r w:rsidR="0050395C" w:rsidRPr="00BF5033">
          <w:rPr>
            <w:rStyle w:val="Hyperlink"/>
            <w:noProof/>
          </w:rPr>
          <w:t>POPIS KRATICA</w:t>
        </w:r>
        <w:r w:rsidR="0050395C">
          <w:rPr>
            <w:noProof/>
            <w:webHidden/>
          </w:rPr>
          <w:tab/>
        </w:r>
        <w:r w:rsidR="0050395C">
          <w:rPr>
            <w:noProof/>
            <w:webHidden/>
          </w:rPr>
          <w:fldChar w:fldCharType="begin"/>
        </w:r>
        <w:r w:rsidR="0050395C">
          <w:rPr>
            <w:noProof/>
            <w:webHidden/>
          </w:rPr>
          <w:instrText xml:space="preserve"> PAGEREF _Toc34147579 \h </w:instrText>
        </w:r>
        <w:r w:rsidR="0050395C">
          <w:rPr>
            <w:noProof/>
            <w:webHidden/>
          </w:rPr>
        </w:r>
        <w:r w:rsidR="0050395C">
          <w:rPr>
            <w:noProof/>
            <w:webHidden/>
          </w:rPr>
          <w:fldChar w:fldCharType="separate"/>
        </w:r>
        <w:r w:rsidR="0050395C">
          <w:rPr>
            <w:rFonts w:hint="eastAsia"/>
            <w:noProof/>
            <w:webHidden/>
          </w:rPr>
          <w:t>130</w:t>
        </w:r>
        <w:r w:rsidR="0050395C">
          <w:rPr>
            <w:noProof/>
            <w:webHidden/>
          </w:rPr>
          <w:fldChar w:fldCharType="end"/>
        </w:r>
      </w:hyperlink>
    </w:p>
    <w:p w:rsidR="00F60E4D" w:rsidRPr="009D0F33" w:rsidRDefault="00F910CC" w:rsidP="00BF7DCC">
      <w:pPr>
        <w:pStyle w:val="TOC1"/>
        <w:spacing w:before="0" w:after="0" w:line="240" w:lineRule="auto"/>
        <w:rPr>
          <w:rFonts w:ascii="Times New Roman" w:eastAsia="Times New Roman" w:hAnsi="Times New Roman"/>
          <w:i/>
          <w:sz w:val="28"/>
          <w:szCs w:val="28"/>
          <w:lang w:eastAsia="hr-HR"/>
        </w:rPr>
      </w:pPr>
      <w:r w:rsidRPr="009D0F33">
        <w:rPr>
          <w:rFonts w:ascii="Times New Roman" w:eastAsia="Times New Roman" w:hAnsi="Times New Roman"/>
          <w:i/>
          <w:sz w:val="28"/>
          <w:szCs w:val="28"/>
          <w:lang w:eastAsia="hr-HR"/>
        </w:rPr>
        <w:fldChar w:fldCharType="end"/>
      </w:r>
    </w:p>
    <w:p w:rsidR="00BF7DCC" w:rsidRPr="009D0F33" w:rsidRDefault="00BF7DCC" w:rsidP="00BF7DCC">
      <w:pPr>
        <w:rPr>
          <w:sz w:val="28"/>
          <w:szCs w:val="28"/>
          <w:lang w:eastAsia="hr-HR"/>
        </w:rPr>
      </w:pPr>
    </w:p>
    <w:p w:rsidR="00BF7DCC" w:rsidRPr="009D0F33" w:rsidRDefault="00BF7DCC" w:rsidP="00BF7DCC">
      <w:pPr>
        <w:rPr>
          <w:sz w:val="28"/>
          <w:szCs w:val="28"/>
          <w:lang w:eastAsia="hr-HR"/>
        </w:rPr>
      </w:pPr>
    </w:p>
    <w:p w:rsidR="00BF7DCC" w:rsidRDefault="00BF7DCC">
      <w:pPr>
        <w:spacing w:line="240" w:lineRule="auto"/>
        <w:jc w:val="left"/>
        <w:rPr>
          <w:lang w:eastAsia="hr-HR"/>
        </w:rPr>
      </w:pPr>
      <w:r>
        <w:rPr>
          <w:lang w:eastAsia="hr-HR"/>
        </w:rPr>
        <w:br w:type="page"/>
      </w:r>
    </w:p>
    <w:p w:rsidR="00BF7DCC" w:rsidRPr="00BF7DCC" w:rsidRDefault="00BF7DCC" w:rsidP="00BF7DCC">
      <w:pPr>
        <w:rPr>
          <w:lang w:eastAsia="hr-HR"/>
        </w:rPr>
      </w:pPr>
    </w:p>
    <w:p w:rsidR="00256A62" w:rsidRPr="00DE6E6A" w:rsidRDefault="00256A62" w:rsidP="00BF7DCC">
      <w:pPr>
        <w:pStyle w:val="Heading1"/>
        <w:spacing w:after="0" w:line="240" w:lineRule="auto"/>
        <w:rPr>
          <w:rFonts w:cs="Times New Roman"/>
          <w:sz w:val="28"/>
          <w:szCs w:val="28"/>
        </w:rPr>
      </w:pPr>
      <w:bookmarkStart w:id="0" w:name="_Toc24632354"/>
      <w:bookmarkStart w:id="1" w:name="_Toc24634704"/>
      <w:bookmarkStart w:id="2" w:name="_Toc24702444"/>
      <w:bookmarkStart w:id="3" w:name="_Toc34147566"/>
      <w:r w:rsidRPr="00DE6E6A">
        <w:rPr>
          <w:rFonts w:cs="Times New Roman"/>
          <w:sz w:val="28"/>
          <w:szCs w:val="28"/>
        </w:rPr>
        <w:t>1.</w:t>
      </w:r>
      <w:r w:rsidRPr="00DE6E6A">
        <w:rPr>
          <w:rFonts w:cs="Times New Roman"/>
          <w:sz w:val="28"/>
          <w:szCs w:val="28"/>
        </w:rPr>
        <w:tab/>
      </w:r>
      <w:r w:rsidR="00B76B20" w:rsidRPr="00DE6E6A">
        <w:rPr>
          <w:rFonts w:cs="Times New Roman"/>
          <w:sz w:val="28"/>
          <w:szCs w:val="28"/>
        </w:rPr>
        <w:t>UVOD</w:t>
      </w:r>
      <w:bookmarkEnd w:id="0"/>
      <w:bookmarkEnd w:id="1"/>
      <w:bookmarkEnd w:id="2"/>
      <w:bookmarkEnd w:id="3"/>
    </w:p>
    <w:p w:rsidR="009D0F33" w:rsidRDefault="009D0F33" w:rsidP="00BF7DCC">
      <w:pPr>
        <w:spacing w:line="240" w:lineRule="auto"/>
      </w:pPr>
    </w:p>
    <w:p w:rsidR="00B65D95" w:rsidRPr="00D60728" w:rsidRDefault="00B65D95" w:rsidP="00BF7DCC">
      <w:pPr>
        <w:spacing w:line="240" w:lineRule="auto"/>
      </w:pPr>
      <w:r w:rsidRPr="00D60728">
        <w:t xml:space="preserve">Zakon o </w:t>
      </w:r>
      <w:r w:rsidR="000A754A">
        <w:t>klimatskim aktivnostima i zaštiti ozonskog sloja</w:t>
      </w:r>
      <w:r w:rsidRPr="00D60728">
        <w:t xml:space="preserve"> (Narodne novine, br</w:t>
      </w:r>
      <w:r w:rsidR="000A754A">
        <w:t>oj</w:t>
      </w:r>
      <w:r w:rsidRPr="00D60728">
        <w:t xml:space="preserve"> 1</w:t>
      </w:r>
      <w:r w:rsidR="000A754A">
        <w:t>27</w:t>
      </w:r>
      <w:r w:rsidRPr="00D60728">
        <w:t>/</w:t>
      </w:r>
      <w:r w:rsidR="000A754A">
        <w:t>2019</w:t>
      </w:r>
      <w:r w:rsidRPr="00D60728">
        <w:t xml:space="preserve">) postavlja obvezu izrade Strategije niskougljičnog razvoja Republike Hrvatske za razdoblje do 2030. godine s pogledom na 2050. godinu (dalje u testu: Niskougljična strategija) i Akcijskog plana za provedbu Niskougljične strategije za razdoblje od pet godina. Prema Zakonu o </w:t>
      </w:r>
      <w:r w:rsidR="000A754A">
        <w:t xml:space="preserve">klimatskim promjenama i </w:t>
      </w:r>
      <w:r w:rsidRPr="00D60728">
        <w:t xml:space="preserve">zaštiti </w:t>
      </w:r>
      <w:r w:rsidR="000A754A">
        <w:t>ozonskog sloja</w:t>
      </w:r>
      <w:r w:rsidRPr="00D60728">
        <w:t xml:space="preserve"> smanjivanje emisija stakleničkih plinova na teritoriju Republike Hrvatske osigurava se provođenjem Niskougljične strategije, planskih dokumenata, postupnim ograničavanjem emisijskih jedinica gospodarskim subjektima, trgovanjem emisijskim jedinicama, mjerama u svim sektorima izvora emisija, primjenom fleksibilnih mehanizama Kyotskog protokola i drugim mjerama koje doprinose ublažavanju klimatskih promjena. Zakon </w:t>
      </w:r>
      <w:r w:rsidR="00DE6E6A">
        <w:t>klimatskim aktivnostima i zaštiti ozonskog sloja</w:t>
      </w:r>
      <w:r w:rsidR="00DE6E6A" w:rsidRPr="00D60728">
        <w:t xml:space="preserve"> </w:t>
      </w:r>
      <w:r w:rsidRPr="00D60728">
        <w:t>propisuje da razvojni dokumenti pojedinih područja i djelatnosti moraju biti usklađeni s načelima, osnovnim ciljevima, prioritetima i mjerama niskougljičnog razvoja po pojedinim sektorima utvrđenim u Niskougljičnoj strategiji.</w:t>
      </w:r>
    </w:p>
    <w:p w:rsidR="00B65D95" w:rsidRPr="00D60728" w:rsidRDefault="00B65D95" w:rsidP="00BF7DCC">
      <w:pPr>
        <w:spacing w:line="240" w:lineRule="auto"/>
        <w:rPr>
          <w:sz w:val="20"/>
          <w:szCs w:val="20"/>
        </w:rPr>
      </w:pPr>
    </w:p>
    <w:p w:rsidR="00B65D95" w:rsidRPr="00D60728" w:rsidRDefault="00B65D95" w:rsidP="00BF7DCC">
      <w:pPr>
        <w:spacing w:line="240" w:lineRule="auto"/>
      </w:pPr>
      <w:r w:rsidRPr="00D60728">
        <w:rPr>
          <w:b/>
        </w:rPr>
        <w:t>Niskougljična strategija s Akcijskim planom određuje put Republike Hrvatske prema konkurentnom gospodarstvu s niskom emisijom stakleničkih plinova</w:t>
      </w:r>
      <w:r w:rsidRPr="00D60728">
        <w:t>. Ciljevi smanjenja emisije stakleničkih plinova do 2030. godine i 2050. godine provodit će se u Republici Hrvatskoj unutar političkog okvira koji je usvojila Europska unija. Niskougljična strategija se odnosi na sve sektore gospodarstva i ljudske aktivnosti, a osobito je vezana za energetiku, industriju, promet, poljoprivredu, šu</w:t>
      </w:r>
      <w:r w:rsidR="00DE6E6A">
        <w:t>marstvo i gospodarenje otpadom.</w:t>
      </w:r>
    </w:p>
    <w:p w:rsidR="005411C1" w:rsidRPr="00D60728" w:rsidRDefault="005411C1" w:rsidP="00BF7DCC">
      <w:pPr>
        <w:spacing w:line="240" w:lineRule="auto"/>
        <w:rPr>
          <w:lang w:eastAsia="en-US"/>
        </w:rPr>
      </w:pPr>
    </w:p>
    <w:p w:rsidR="005411C1" w:rsidRPr="00DE6E6A" w:rsidRDefault="005411C1" w:rsidP="00BF7DCC">
      <w:pPr>
        <w:spacing w:line="240" w:lineRule="auto"/>
      </w:pPr>
      <w:r w:rsidRPr="00D60728">
        <w:rPr>
          <w:lang w:eastAsia="en-US"/>
        </w:rPr>
        <w:t>Strategija ima horizontalno djelovanje, ona je nadređena sektorskim strategijama, ia</w:t>
      </w:r>
      <w:r w:rsidR="00DE6E6A">
        <w:rPr>
          <w:lang w:eastAsia="en-US"/>
        </w:rPr>
        <w:t xml:space="preserve">ko se operativno provodi kroz </w:t>
      </w:r>
      <w:r w:rsidRPr="00D60728">
        <w:rPr>
          <w:lang w:eastAsia="en-US"/>
        </w:rPr>
        <w:t>pojedine sektore.</w:t>
      </w:r>
      <w:r w:rsidR="002C5EA9" w:rsidRPr="00D60728">
        <w:rPr>
          <w:lang w:eastAsia="en-US"/>
        </w:rPr>
        <w:t xml:space="preserve"> </w:t>
      </w:r>
      <w:r w:rsidR="00DE6E6A">
        <w:rPr>
          <w:lang w:eastAsia="en-US"/>
        </w:rPr>
        <w:t xml:space="preserve">Članak 14. </w:t>
      </w:r>
      <w:r w:rsidR="002C5EA9" w:rsidRPr="00D60728">
        <w:rPr>
          <w:lang w:eastAsia="en-US"/>
        </w:rPr>
        <w:t>Zakon</w:t>
      </w:r>
      <w:r w:rsidR="00DE6E6A">
        <w:rPr>
          <w:lang w:eastAsia="en-US"/>
        </w:rPr>
        <w:t>a o</w:t>
      </w:r>
      <w:r w:rsidR="002C5EA9" w:rsidRPr="00D60728">
        <w:rPr>
          <w:lang w:eastAsia="en-US"/>
        </w:rPr>
        <w:t xml:space="preserve"> </w:t>
      </w:r>
      <w:r w:rsidR="00DE6E6A">
        <w:t>klimatskim aktivnostima i zaštiti ozonskog sloja</w:t>
      </w:r>
      <w:r w:rsidR="002C5EA9" w:rsidRPr="00D60728">
        <w:t xml:space="preserve"> utvrđ</w:t>
      </w:r>
      <w:r w:rsidR="00DE6E6A">
        <w:t>uje</w:t>
      </w:r>
      <w:r w:rsidR="002C5EA9" w:rsidRPr="00D60728">
        <w:t xml:space="preserve"> da </w:t>
      </w:r>
      <w:r w:rsidR="00DE6E6A">
        <w:rPr>
          <w:i/>
        </w:rPr>
        <w:t>Nacionalni r</w:t>
      </w:r>
      <w:r w:rsidRPr="00D60728">
        <w:rPr>
          <w:i/>
        </w:rPr>
        <w:t>azvojni dokument</w:t>
      </w:r>
      <w:r w:rsidR="00DE6E6A">
        <w:rPr>
          <w:i/>
        </w:rPr>
        <w:t xml:space="preserve">i i  razvojni dokumenti </w:t>
      </w:r>
      <w:r w:rsidRPr="00D60728">
        <w:rPr>
          <w:i/>
        </w:rPr>
        <w:t xml:space="preserve"> pojedinih područja i djelatnosti moraju biti usklađeni</w:t>
      </w:r>
      <w:r w:rsidR="00DE6E6A">
        <w:rPr>
          <w:i/>
        </w:rPr>
        <w:t xml:space="preserve"> </w:t>
      </w:r>
      <w:r w:rsidRPr="00D60728">
        <w:rPr>
          <w:i/>
        </w:rPr>
        <w:t>s načelima, osnovnim ciljevima, prioritetima i mjerama utvrđenim u Niskougljičnoj strategiji.</w:t>
      </w:r>
    </w:p>
    <w:p w:rsidR="005411C1" w:rsidRPr="00D60728" w:rsidRDefault="005411C1" w:rsidP="00BF7DCC">
      <w:pPr>
        <w:spacing w:line="240" w:lineRule="auto"/>
      </w:pPr>
    </w:p>
    <w:p w:rsidR="00CC4C34" w:rsidRPr="00D60728" w:rsidRDefault="00CC4C34" w:rsidP="00BF7DCC">
      <w:pPr>
        <w:spacing w:line="240" w:lineRule="auto"/>
      </w:pPr>
      <w:r w:rsidRPr="00D60728">
        <w:rPr>
          <w:b/>
        </w:rPr>
        <w:t>Akcijski plan za provedbu niskougljične strategije</w:t>
      </w:r>
      <w:r w:rsidRPr="00D60728">
        <w:t xml:space="preserve">, s obzirom na gore navedeno, </w:t>
      </w:r>
      <w:r w:rsidRPr="00D60728">
        <w:rPr>
          <w:b/>
        </w:rPr>
        <w:t>nadređen je svim sektorskim planovima</w:t>
      </w:r>
      <w:r w:rsidR="002C5EA9" w:rsidRPr="00D60728">
        <w:rPr>
          <w:b/>
        </w:rPr>
        <w:t>.</w:t>
      </w:r>
      <w:r w:rsidRPr="00D60728">
        <w:t xml:space="preserve"> </w:t>
      </w:r>
    </w:p>
    <w:p w:rsidR="00CC4C34" w:rsidRPr="00D60728" w:rsidRDefault="00CC4C34" w:rsidP="00BF7DCC">
      <w:pPr>
        <w:spacing w:line="240" w:lineRule="auto"/>
      </w:pPr>
    </w:p>
    <w:p w:rsidR="00CC4C34" w:rsidRPr="00D60728" w:rsidRDefault="00DE6E6A" w:rsidP="00BF7DCC">
      <w:pPr>
        <w:spacing w:line="240" w:lineRule="auto"/>
      </w:pPr>
      <w:r>
        <w:t xml:space="preserve">Akcijski plan </w:t>
      </w:r>
      <w:r w:rsidR="00CC4C34" w:rsidRPr="00D60728">
        <w:t xml:space="preserve">provodi </w:t>
      </w:r>
      <w:r>
        <w:t xml:space="preserve">se </w:t>
      </w:r>
      <w:r w:rsidR="00CC4C34" w:rsidRPr="00D60728">
        <w:t>za razdoblje od pet godina</w:t>
      </w:r>
      <w:r>
        <w:t xml:space="preserve">, odnosno </w:t>
      </w:r>
      <w:r w:rsidR="00CC4C34" w:rsidRPr="00D60728">
        <w:t>za razdoblje od 20</w:t>
      </w:r>
      <w:r w:rsidR="002C5EA9" w:rsidRPr="00D60728">
        <w:t>2</w:t>
      </w:r>
      <w:r>
        <w:t>1</w:t>
      </w:r>
      <w:r w:rsidR="00CC4C34" w:rsidRPr="00D60728">
        <w:t>. do 202</w:t>
      </w:r>
      <w:r>
        <w:t>5</w:t>
      </w:r>
      <w:r w:rsidR="00CC4C34" w:rsidRPr="00D60728">
        <w:t xml:space="preserve">. godine, a </w:t>
      </w:r>
      <w:r>
        <w:t>donosi</w:t>
      </w:r>
      <w:r w:rsidR="00CC4C34" w:rsidRPr="00D60728">
        <w:t xml:space="preserve"> ga Vlada Republike Hrvatske. </w:t>
      </w:r>
    </w:p>
    <w:p w:rsidR="00CC4C34" w:rsidRPr="00D60728" w:rsidRDefault="00CC4C34" w:rsidP="00BF7DCC">
      <w:pPr>
        <w:spacing w:line="240" w:lineRule="auto"/>
      </w:pPr>
    </w:p>
    <w:p w:rsidR="00CC4C34" w:rsidRPr="00DE6E6A" w:rsidRDefault="00CC4C34" w:rsidP="00BF7DCC">
      <w:pPr>
        <w:spacing w:line="240" w:lineRule="auto"/>
      </w:pPr>
      <w:r w:rsidRPr="00D60728">
        <w:t xml:space="preserve">Akcijski plan daje: </w:t>
      </w:r>
    </w:p>
    <w:p w:rsidR="00CC4C34" w:rsidRPr="00D60728" w:rsidRDefault="00DE6E6A" w:rsidP="00BF7DCC">
      <w:pPr>
        <w:pStyle w:val="ListParagraph"/>
        <w:numPr>
          <w:ilvl w:val="0"/>
          <w:numId w:val="71"/>
        </w:numPr>
        <w:spacing w:line="240" w:lineRule="auto"/>
      </w:pPr>
      <w:r>
        <w:t>d</w:t>
      </w:r>
      <w:r w:rsidR="00CC4C34" w:rsidRPr="00D60728">
        <w:t>etaljan opis mjera, nositelja svih aktivnosti, strukture i izvora financiranja mjere, očekivane rezultate, način praćenja provedbe mjere i verifikacije rezultata te vremenski okvir provedbe i završetka određene mjere</w:t>
      </w:r>
    </w:p>
    <w:p w:rsidR="00CC4C34" w:rsidRPr="00D60728" w:rsidRDefault="00DE6E6A" w:rsidP="00BF7DCC">
      <w:pPr>
        <w:pStyle w:val="ListParagraph"/>
        <w:numPr>
          <w:ilvl w:val="0"/>
          <w:numId w:val="71"/>
        </w:numPr>
        <w:spacing w:line="240" w:lineRule="auto"/>
      </w:pPr>
      <w:r>
        <w:t>i</w:t>
      </w:r>
      <w:r w:rsidR="008820E1" w:rsidRPr="00D60728">
        <w:t>n</w:t>
      </w:r>
      <w:r w:rsidR="00CC4C34" w:rsidRPr="00D60728">
        <w:t>stitucionaln</w:t>
      </w:r>
      <w:r w:rsidR="008820E1" w:rsidRPr="00D60728">
        <w:t xml:space="preserve">i </w:t>
      </w:r>
      <w:r w:rsidR="00CC4C34" w:rsidRPr="00D60728">
        <w:t>okvir</w:t>
      </w:r>
      <w:r w:rsidR="008820E1" w:rsidRPr="00D60728">
        <w:t xml:space="preserve"> za provedbu Niskougljične strategije</w:t>
      </w:r>
    </w:p>
    <w:p w:rsidR="00CC4C34" w:rsidRPr="00D60728" w:rsidRDefault="00DE6E6A" w:rsidP="00BF7DCC">
      <w:pPr>
        <w:pStyle w:val="ListParagraph"/>
        <w:numPr>
          <w:ilvl w:val="0"/>
          <w:numId w:val="71"/>
        </w:numPr>
        <w:spacing w:line="240" w:lineRule="auto"/>
      </w:pPr>
      <w:r>
        <w:t>p</w:t>
      </w:r>
      <w:r w:rsidR="008820E1" w:rsidRPr="00D60728">
        <w:t>okazatelje provedbe Niskougljične strategije</w:t>
      </w:r>
    </w:p>
    <w:p w:rsidR="00CC4C34" w:rsidRDefault="00DE6E6A" w:rsidP="00BF7DCC">
      <w:pPr>
        <w:pStyle w:val="ListParagraph"/>
        <w:numPr>
          <w:ilvl w:val="0"/>
          <w:numId w:val="71"/>
        </w:numPr>
        <w:spacing w:line="240" w:lineRule="auto"/>
      </w:pPr>
      <w:r>
        <w:t>i</w:t>
      </w:r>
      <w:r w:rsidR="008820E1" w:rsidRPr="00D60728">
        <w:t>zvore financiranja mjera Niskougljične strategije</w:t>
      </w:r>
      <w:r w:rsidR="00CC4C34" w:rsidRPr="00D60728">
        <w:t>.</w:t>
      </w:r>
    </w:p>
    <w:p w:rsidR="003E47F8" w:rsidRDefault="003E47F8" w:rsidP="003E47F8">
      <w:pPr>
        <w:spacing w:line="240" w:lineRule="auto"/>
      </w:pPr>
    </w:p>
    <w:p w:rsidR="003E47F8" w:rsidRPr="00D60728" w:rsidRDefault="003E47F8" w:rsidP="003E47F8">
      <w:pPr>
        <w:spacing w:line="240" w:lineRule="auto"/>
      </w:pPr>
    </w:p>
    <w:p w:rsidR="008F2F2E" w:rsidRPr="00D60728" w:rsidRDefault="008F2F2E" w:rsidP="00BF7DCC">
      <w:pPr>
        <w:pStyle w:val="ListParagraph"/>
        <w:numPr>
          <w:ilvl w:val="0"/>
          <w:numId w:val="71"/>
        </w:numPr>
        <w:spacing w:line="240" w:lineRule="auto"/>
        <w:rPr>
          <w:rFonts w:eastAsia="Arial Unicode MS"/>
          <w:b/>
        </w:rPr>
      </w:pPr>
      <w:r w:rsidRPr="00D60728">
        <w:br w:type="page"/>
      </w:r>
    </w:p>
    <w:p w:rsidR="008F2F2E" w:rsidRPr="00DE6E6A" w:rsidRDefault="008F2F2E" w:rsidP="00BF7DCC">
      <w:pPr>
        <w:pStyle w:val="Heading1"/>
        <w:spacing w:after="0" w:line="240" w:lineRule="auto"/>
        <w:rPr>
          <w:rFonts w:cs="Times New Roman"/>
          <w:sz w:val="28"/>
          <w:szCs w:val="28"/>
        </w:rPr>
      </w:pPr>
      <w:bookmarkStart w:id="4" w:name="_Toc34147567"/>
      <w:bookmarkStart w:id="5" w:name="_Toc24632355"/>
      <w:bookmarkStart w:id="6" w:name="_Toc24634705"/>
      <w:bookmarkStart w:id="7" w:name="_Toc24702445"/>
      <w:r w:rsidRPr="00DE6E6A">
        <w:rPr>
          <w:rFonts w:cs="Times New Roman"/>
          <w:sz w:val="28"/>
          <w:szCs w:val="28"/>
        </w:rPr>
        <w:lastRenderedPageBreak/>
        <w:t>2.</w:t>
      </w:r>
      <w:r w:rsidRPr="00DE6E6A">
        <w:rPr>
          <w:rFonts w:cs="Times New Roman"/>
          <w:sz w:val="28"/>
          <w:szCs w:val="28"/>
        </w:rPr>
        <w:tab/>
        <w:t>SAŽETAK STRATEGIJE</w:t>
      </w:r>
      <w:bookmarkEnd w:id="4"/>
      <w:r w:rsidRPr="00DE6E6A">
        <w:rPr>
          <w:rFonts w:cs="Times New Roman"/>
          <w:sz w:val="28"/>
          <w:szCs w:val="28"/>
        </w:rPr>
        <w:t xml:space="preserve"> </w:t>
      </w:r>
      <w:bookmarkEnd w:id="5"/>
      <w:bookmarkEnd w:id="6"/>
      <w:bookmarkEnd w:id="7"/>
    </w:p>
    <w:p w:rsidR="00DD5863" w:rsidRPr="00D60728" w:rsidRDefault="00DD5863" w:rsidP="00BF7DCC">
      <w:pPr>
        <w:spacing w:line="240" w:lineRule="auto"/>
        <w:rPr>
          <w:rFonts w:eastAsia="Calibri"/>
        </w:rPr>
      </w:pPr>
    </w:p>
    <w:p w:rsidR="00BF7DCC" w:rsidRDefault="00BF7DCC" w:rsidP="00BF7DCC">
      <w:pPr>
        <w:spacing w:line="240" w:lineRule="auto"/>
      </w:pPr>
      <w:r>
        <w:t xml:space="preserve">Hrvatski sabor donio je </w:t>
      </w:r>
      <w:r w:rsidR="00DD5863" w:rsidRPr="00D60728">
        <w:t>Strategij</w:t>
      </w:r>
      <w:r>
        <w:t>u</w:t>
      </w:r>
      <w:r w:rsidR="00DD5863" w:rsidRPr="00D60728">
        <w:t xml:space="preserve"> niskougljičnog razvoja Republike Hrvatske do 2030. godine s pogledom na 2050. godinu</w:t>
      </w:r>
      <w:r>
        <w:t xml:space="preserve"> na sjednici održanoj ___________________ 2020. godine.</w:t>
      </w:r>
    </w:p>
    <w:p w:rsidR="00BF7DCC" w:rsidRDefault="00BF7DCC" w:rsidP="00BF7DCC">
      <w:pPr>
        <w:spacing w:line="240" w:lineRule="auto"/>
        <w:rPr>
          <w:rFonts w:eastAsia="Calibri"/>
        </w:rPr>
      </w:pPr>
    </w:p>
    <w:p w:rsidR="00BF7DCC" w:rsidRPr="00D60728" w:rsidRDefault="00BF7DCC" w:rsidP="00BF7DCC">
      <w:pPr>
        <w:spacing w:line="240" w:lineRule="auto"/>
        <w:rPr>
          <w:rFonts w:eastAsia="Calibri"/>
        </w:rPr>
      </w:pPr>
      <w:r w:rsidRPr="00D60728">
        <w:rPr>
          <w:rFonts w:eastAsia="Calibri"/>
        </w:rPr>
        <w:t xml:space="preserve">U izradi Niskougljične strategije analiziran je niz scenarija, primijenjeni su mnogobrojni modeli za simulacije i optimiranje, a razvijen je i integralni model za nacionalne projekcije stakleničkih plinova NUSPCRO (Niskougljično strateško planiranje Republike Hrvatske). Dodatna vrijednost je što NUSPCRO omogućava i planiranje scenarija za ostale onečišćujuće tvari, tako se usklađivanje ciljeva po obvezama UNFCCC-a i Konvencije o dalekosežnom  prekograničnom onečišćenju zraka (LRTAP) može provoditi istovremeno. </w:t>
      </w:r>
    </w:p>
    <w:p w:rsidR="00BF7DCC" w:rsidRDefault="00BF7DCC" w:rsidP="00BF7DCC">
      <w:pPr>
        <w:spacing w:line="240" w:lineRule="auto"/>
      </w:pPr>
    </w:p>
    <w:p w:rsidR="009D0F33" w:rsidRDefault="00DD5863" w:rsidP="00BF7DCC">
      <w:pPr>
        <w:spacing w:line="240" w:lineRule="auto"/>
      </w:pPr>
      <w:r w:rsidRPr="00D60728">
        <w:t>Niskougljičn</w:t>
      </w:r>
      <w:r w:rsidR="00BF7DCC">
        <w:t>a</w:t>
      </w:r>
      <w:r w:rsidRPr="00D60728">
        <w:t xml:space="preserve"> strategij</w:t>
      </w:r>
      <w:r w:rsidR="00BF7DCC">
        <w:t>a</w:t>
      </w:r>
      <w:r w:rsidRPr="00D60728">
        <w:t xml:space="preserve"> usklađ</w:t>
      </w:r>
      <w:r w:rsidR="00BF7DCC">
        <w:t xml:space="preserve">ena je </w:t>
      </w:r>
      <w:r w:rsidRPr="00D60728">
        <w:t xml:space="preserve">sa Strategijom energetskog razvoja Republike Hrvatske do 2030. godine, s pogledom do 2050. godine </w:t>
      </w:r>
      <w:r w:rsidR="009D0F33">
        <w:t>te sa I</w:t>
      </w:r>
      <w:r w:rsidRPr="00D60728">
        <w:t>ntegrirani</w:t>
      </w:r>
      <w:r w:rsidR="009D0F33">
        <w:t>m</w:t>
      </w:r>
      <w:r w:rsidRPr="00D60728">
        <w:t xml:space="preserve"> </w:t>
      </w:r>
      <w:r w:rsidR="009D0F33">
        <w:t xml:space="preserve">nacionalnim </w:t>
      </w:r>
      <w:r w:rsidRPr="00D60728">
        <w:t>energetski</w:t>
      </w:r>
      <w:r w:rsidR="009D0F33">
        <w:t>m</w:t>
      </w:r>
      <w:r w:rsidRPr="00D60728">
        <w:t xml:space="preserve"> i klimatski</w:t>
      </w:r>
      <w:r w:rsidR="009D0F33">
        <w:t xml:space="preserve">m planom za Republiku Hrvatsku </w:t>
      </w:r>
      <w:r w:rsidRPr="00D60728">
        <w:t xml:space="preserve">za razdoblje od 2021. do 2030. godine. </w:t>
      </w:r>
    </w:p>
    <w:p w:rsidR="00DD5863" w:rsidRPr="00D60728" w:rsidRDefault="00DD5863" w:rsidP="00BF7DCC">
      <w:pPr>
        <w:spacing w:line="240" w:lineRule="auto"/>
      </w:pPr>
    </w:p>
    <w:p w:rsidR="00DD5863" w:rsidRPr="00D60728" w:rsidRDefault="00DD5863" w:rsidP="00BF7DCC">
      <w:pPr>
        <w:spacing w:line="240" w:lineRule="auto"/>
      </w:pPr>
      <w:r w:rsidRPr="00D60728">
        <w:t>Niskougljična strategija postavlja put za tranziciju prema održivom konkurentnom gospodarstvu, u kojem se gospodarski rast ostvaruje uz male emisije stakleničkih plinova. Ciljevi smanjenja emisije stakleničkih plinova do 2030. godine i 2050. godine provodit će se u Republici Hrvatskoj u okviru političkog okvira koji je usvojila Europska unija.</w:t>
      </w:r>
    </w:p>
    <w:p w:rsidR="00DD5863" w:rsidRPr="00D60728" w:rsidRDefault="00DD5863" w:rsidP="00BF7DCC">
      <w:pPr>
        <w:spacing w:line="240" w:lineRule="auto"/>
      </w:pPr>
    </w:p>
    <w:p w:rsidR="00DD5863" w:rsidRPr="007270F2" w:rsidRDefault="00DD5863" w:rsidP="00BF7DCC">
      <w:pPr>
        <w:spacing w:line="240" w:lineRule="auto"/>
      </w:pPr>
      <w:r w:rsidRPr="00D60728">
        <w:t>Opći ciljevi Niskougljične strategije su:</w:t>
      </w:r>
    </w:p>
    <w:p w:rsidR="00DD5863" w:rsidRPr="00D60728" w:rsidRDefault="007270F2" w:rsidP="00BF7DCC">
      <w:pPr>
        <w:pStyle w:val="ListParagraph"/>
        <w:numPr>
          <w:ilvl w:val="0"/>
          <w:numId w:val="72"/>
        </w:numPr>
        <w:spacing w:line="240" w:lineRule="auto"/>
      </w:pPr>
      <w:r>
        <w:t>p</w:t>
      </w:r>
      <w:r w:rsidR="00DD5863" w:rsidRPr="00D60728">
        <w:t>ostizanje održivog razvoja temeljenog na znanju i konkurentnom gospodarstvu s niskom razinom ugljika i učinkovitim korištenjem resursa</w:t>
      </w:r>
    </w:p>
    <w:p w:rsidR="00DD5863" w:rsidRPr="00D60728" w:rsidRDefault="007270F2" w:rsidP="00BF7DCC">
      <w:pPr>
        <w:pStyle w:val="ListParagraph"/>
        <w:numPr>
          <w:ilvl w:val="0"/>
          <w:numId w:val="72"/>
        </w:numPr>
        <w:spacing w:line="240" w:lineRule="auto"/>
      </w:pPr>
      <w:r>
        <w:t>p</w:t>
      </w:r>
      <w:r w:rsidR="00DD5863" w:rsidRPr="00D60728">
        <w:t>ovećanje sigurnosti opskrbe energijom, održivost energetske opskrbe, povećanje dostupnosti energije i smanjenje energetske ovisnosti</w:t>
      </w:r>
    </w:p>
    <w:p w:rsidR="00DD5863" w:rsidRPr="00D60728" w:rsidRDefault="007270F2" w:rsidP="00BF7DCC">
      <w:pPr>
        <w:pStyle w:val="ListParagraph"/>
        <w:numPr>
          <w:ilvl w:val="0"/>
          <w:numId w:val="72"/>
        </w:numPr>
        <w:spacing w:line="240" w:lineRule="auto"/>
      </w:pPr>
      <w:r>
        <w:t>s</w:t>
      </w:r>
      <w:r w:rsidR="00DD5863" w:rsidRPr="00D60728">
        <w:t>olidarnost izvršavanjem obveza Republike Hrvatske prema međunarodnim sporazumima, u okviru politike Europske unije, kao dio naše povijesne odgovornosti i doprinos globalnim ciljevima</w:t>
      </w:r>
    </w:p>
    <w:p w:rsidR="00DD5863" w:rsidRPr="00D60728" w:rsidRDefault="007270F2" w:rsidP="00BF7DCC">
      <w:pPr>
        <w:pStyle w:val="ListParagraph"/>
        <w:numPr>
          <w:ilvl w:val="0"/>
          <w:numId w:val="72"/>
        </w:numPr>
        <w:spacing w:line="240" w:lineRule="auto"/>
      </w:pPr>
      <w:r>
        <w:t>s</w:t>
      </w:r>
      <w:r w:rsidR="00DD5863" w:rsidRPr="00D60728">
        <w:t>manjenje onečišćenja zraka i utjecaja na zdravlje.</w:t>
      </w:r>
    </w:p>
    <w:p w:rsidR="00DD5863" w:rsidRPr="00D60728" w:rsidRDefault="00DD5863" w:rsidP="00BF7DCC">
      <w:pPr>
        <w:spacing w:line="240" w:lineRule="auto"/>
      </w:pPr>
    </w:p>
    <w:p w:rsidR="00D76EA9" w:rsidRDefault="00D76EA9" w:rsidP="00BF7DCC">
      <w:pPr>
        <w:spacing w:line="240" w:lineRule="auto"/>
        <w:rPr>
          <w:b/>
        </w:rPr>
      </w:pPr>
      <w:r>
        <w:t>Temeljni cilj smanjenja emisije je smanjenje za</w:t>
      </w:r>
      <w:r w:rsidR="00DD5863" w:rsidRPr="00D76EA9">
        <w:rPr>
          <w:b/>
        </w:rPr>
        <w:t xml:space="preserve"> 7% u sektorima izvan ETS-a, u odnosu na emisiju u 2005. godini. </w:t>
      </w:r>
    </w:p>
    <w:p w:rsidR="00D76EA9" w:rsidRDefault="00D76EA9" w:rsidP="00BF7DCC">
      <w:pPr>
        <w:spacing w:line="240" w:lineRule="auto"/>
        <w:rPr>
          <w:b/>
        </w:rPr>
      </w:pPr>
    </w:p>
    <w:p w:rsidR="00DD5863" w:rsidRPr="00D76EA9" w:rsidRDefault="00DD5863" w:rsidP="00BF7DCC">
      <w:pPr>
        <w:spacing w:line="240" w:lineRule="auto"/>
      </w:pPr>
      <w:r w:rsidRPr="00D60728">
        <w:rPr>
          <w:b/>
        </w:rPr>
        <w:t xml:space="preserve">Ciljevi za obnovljive izvore energije, energetsku učinkovitost te sektorski ciljevi proizlaze iz </w:t>
      </w:r>
      <w:r w:rsidR="00D76EA9">
        <w:rPr>
          <w:b/>
        </w:rPr>
        <w:t xml:space="preserve">gore </w:t>
      </w:r>
      <w:r w:rsidRPr="00D60728">
        <w:rPr>
          <w:b/>
        </w:rPr>
        <w:t>naveden</w:t>
      </w:r>
      <w:r w:rsidR="00D76EA9">
        <w:rPr>
          <w:b/>
        </w:rPr>
        <w:t>ih</w:t>
      </w:r>
      <w:r w:rsidRPr="00D60728">
        <w:rPr>
          <w:b/>
        </w:rPr>
        <w:t xml:space="preserve"> ciljeva.</w:t>
      </w:r>
      <w:r w:rsidRPr="00D60728">
        <w:t xml:space="preserve"> Provedbeni dokument za razdoblje do 2030. godine je Integrirani </w:t>
      </w:r>
      <w:r w:rsidR="00D76EA9">
        <w:t xml:space="preserve">nacionalni </w:t>
      </w:r>
      <w:r w:rsidRPr="00D60728">
        <w:t>energetski i klimatski plan za razdoblje od 2021. do 2030. godine.</w:t>
      </w:r>
    </w:p>
    <w:p w:rsidR="00DD5863" w:rsidRPr="00D60728" w:rsidRDefault="00DD5863" w:rsidP="00BF7DCC">
      <w:pPr>
        <w:spacing w:line="240" w:lineRule="auto"/>
        <w:rPr>
          <w:b/>
        </w:rPr>
      </w:pPr>
    </w:p>
    <w:p w:rsidR="00DD5863" w:rsidRPr="00D60728" w:rsidRDefault="00D76EA9" w:rsidP="00BF7DCC">
      <w:pPr>
        <w:spacing w:line="240" w:lineRule="auto"/>
      </w:pPr>
      <w:r>
        <w:t>Strategijom se daju smjernice za smanjenje emisija stakleničkih plinova do 2030. i 20050. godine (temeljem analiziranih oko</w:t>
      </w:r>
      <w:r w:rsidR="00DD5863" w:rsidRPr="00D60728">
        <w:t xml:space="preserve"> stotinu mjera</w:t>
      </w:r>
      <w:r>
        <w:t xml:space="preserve"> za smanjenje emisija: </w:t>
      </w:r>
      <w:r w:rsidR="00DD5863" w:rsidRPr="00D60728">
        <w:t>tehničkog i ne-tehničkog ti</w:t>
      </w:r>
      <w:r>
        <w:t>pa)</w:t>
      </w:r>
      <w:r w:rsidR="00DD5863" w:rsidRPr="00D60728">
        <w:t xml:space="preserve">, u različitim sektorima: proizvodnji električne energije i topline, proizvodnji i preradi goriva, prometu, općoj potrošnji (kućanstva i usluge), industriji, poljoprivredi, korištenju zemljišta, promjeni korištenja zemljišta i šumarstvu, gospodarenju otpadom, korištenju proizvoda te fugitivnim emisijama. Ove </w:t>
      </w:r>
      <w:r>
        <w:t>smjernice</w:t>
      </w:r>
      <w:r w:rsidR="00DD5863" w:rsidRPr="00D60728">
        <w:t xml:space="preserve"> su ugrađene u tri  glavna scenarija: Referentni scenarij (NUR), Scenarij postupne tranzicije (NU1) i Scenarij snažne tranzicije (NU2).  </w:t>
      </w:r>
    </w:p>
    <w:p w:rsidR="00DD5863" w:rsidRPr="00D60728" w:rsidRDefault="00DD5863" w:rsidP="00BF7DCC">
      <w:pPr>
        <w:spacing w:line="240" w:lineRule="auto"/>
      </w:pPr>
    </w:p>
    <w:p w:rsidR="00DD5863" w:rsidRPr="00D60728" w:rsidRDefault="00DD5863" w:rsidP="00BF7DCC">
      <w:pPr>
        <w:spacing w:line="240" w:lineRule="auto"/>
      </w:pPr>
      <w:r w:rsidRPr="00D60728">
        <w:rPr>
          <w:b/>
        </w:rPr>
        <w:t>Referentni scenarij NUR</w:t>
      </w:r>
      <w:r w:rsidRPr="00D60728">
        <w:t xml:space="preserve"> predstavlja nastavak postojeće prakse, u skladu s važećom regulativom i prihvaćenim ciljevima do 2030. godine. Ovaj scenarij pretpostavlja tehnološki </w:t>
      </w:r>
      <w:r w:rsidRPr="00D60728">
        <w:lastRenderedPageBreak/>
        <w:t>napredak i rast udjela obnovljivih izvora energije i energetske učinkovitosti temeljem tržišne situacije i danas utvrđenih ciljnih energetskih standarda. U odnosu na niskougljične scenarije za dostizanje ciljeva, to je scenarij s blažom penetracijom obnovljivih izvora energije i energetske učinkovitosti. Emisije u ovom scenariju se smanjuju za 6,4% u 2030. godini te 30% u 2050. godini u odnosu na današnje stanje. Udio obnovljivih izvora u ovom scenariju je 40,0% u 2030. godini, a 45,5% u 2050. godini. Ipak, ovaj scenarij ne vodi niskougljičnom gospodarstvu.</w:t>
      </w:r>
    </w:p>
    <w:p w:rsidR="00DD5863" w:rsidRPr="00D60728" w:rsidRDefault="00DD5863" w:rsidP="00BF7DCC">
      <w:pPr>
        <w:spacing w:line="240" w:lineRule="auto"/>
      </w:pPr>
    </w:p>
    <w:p w:rsidR="00DD5863" w:rsidRPr="00D60728" w:rsidRDefault="00DD5863" w:rsidP="00BF7DCC">
      <w:pPr>
        <w:spacing w:line="240" w:lineRule="auto"/>
      </w:pPr>
      <w:r w:rsidRPr="00D60728">
        <w:rPr>
          <w:b/>
        </w:rPr>
        <w:t>Scenarij postupne tranzicije NU1</w:t>
      </w:r>
      <w:r w:rsidRPr="00D60728">
        <w:t xml:space="preserve"> dimenzioniran je tako da se sigurno ispune ciljevi smanjenja emisije koji bi mogli biti obveza u okviru interne sheme obveza EU i s tim u vezi ciljevi međunarodnog dugoročnog dogovora da se porast temperature održi unutar 2°C, a  po mogućnosti i unutar 1,5°C. U ovom scenariju smanjenje emisije se postiže primjenom niza troškovno učinkovitih mjera, snažnim poticanjem energetske učinkovitosti i primjenom obnovljivih izvora energije koji bi, u proizvodnji električne energije, nakon 2030. godine mogli velikim dijelom biti potpuno tržišno konkurentni. Scenarij pretpostavlja snažan rast cijena CO</w:t>
      </w:r>
      <w:r w:rsidRPr="00D60728">
        <w:rPr>
          <w:vertAlign w:val="subscript"/>
        </w:rPr>
        <w:t>2</w:t>
      </w:r>
      <w:r w:rsidRPr="00D60728">
        <w:t>, do 92,1 EUR/t CO</w:t>
      </w:r>
      <w:r w:rsidRPr="00D60728">
        <w:rPr>
          <w:vertAlign w:val="subscript"/>
        </w:rPr>
        <w:t>2</w:t>
      </w:r>
      <w:r w:rsidRPr="00D60728">
        <w:t xml:space="preserve"> u 2050. godini, što je glavni pokretač tranzicije. Udio obnovljivih izvora energije u 2030. godini po ovom scenariju je 36,6%, a u 2050. godini mogao bi biti 53,2%. NU1 scenarijem smanjuje se emisija stakleničkih plinova za 33,5% u 2030. godini i 56,8% u 2050. godini, u odnosu na 1990. godinu.    </w:t>
      </w:r>
    </w:p>
    <w:p w:rsidR="00DD5863" w:rsidRPr="00D60728" w:rsidRDefault="00DD5863" w:rsidP="00BF7DCC">
      <w:pPr>
        <w:spacing w:line="240" w:lineRule="auto"/>
      </w:pPr>
    </w:p>
    <w:p w:rsidR="00DD5863" w:rsidRPr="00D60728" w:rsidRDefault="00DD5863" w:rsidP="00BF7DCC">
      <w:pPr>
        <w:spacing w:line="240" w:lineRule="auto"/>
      </w:pPr>
      <w:r w:rsidRPr="00D60728">
        <w:rPr>
          <w:b/>
        </w:rPr>
        <w:t>Scenarij snažne tranzicije NU2</w:t>
      </w:r>
      <w:r w:rsidRPr="00D60728">
        <w:t xml:space="preserve"> je dimenzioniran s ciljem da se u 2050. godini postigne smanjenje emisije 80% u odnosu na 1990. godinu. U ovom scenariju kao i u NU1 pretpostavlja se snažan porast cijena CO</w:t>
      </w:r>
      <w:r w:rsidRPr="00D60728">
        <w:rPr>
          <w:vertAlign w:val="subscript"/>
        </w:rPr>
        <w:t xml:space="preserve">2 </w:t>
      </w:r>
      <w:r w:rsidRPr="00D60728">
        <w:t>do 92,1 EUR/t CO</w:t>
      </w:r>
      <w:r w:rsidRPr="00D60728">
        <w:rPr>
          <w:vertAlign w:val="subscript"/>
        </w:rPr>
        <w:t>2</w:t>
      </w:r>
      <w:r w:rsidRPr="00D60728">
        <w:t xml:space="preserve"> u 2050. godini te vrlo snažne mjere energetske učinkovitosti. U ovom scenariju, u 2050. godini, dominantni izvor emisije ostaje promet, zatim poljoprivreda i industrija. Primjenom danas poznatih mjera, uključivo i one koje su socio-gospodarskom pogledu prihvatljive za poljoprivredu, moglo bi se postići smanjenje emisije od 73,1%. Ostatak do 80% računa se na nove, danas nepoznate tehnologije.</w:t>
      </w:r>
    </w:p>
    <w:p w:rsidR="00DD5863" w:rsidRPr="00D60728" w:rsidRDefault="00DD5863" w:rsidP="00BF7DCC">
      <w:pPr>
        <w:spacing w:line="240" w:lineRule="auto"/>
      </w:pPr>
    </w:p>
    <w:p w:rsidR="00DD5863" w:rsidRPr="00D60728" w:rsidRDefault="00DD5863" w:rsidP="00BF7DCC">
      <w:pPr>
        <w:spacing w:line="240" w:lineRule="auto"/>
      </w:pPr>
      <w:r w:rsidRPr="00D60728">
        <w:t>Scenarij neto nulte emisije za sada nije analiziran. U narednim godinama kroz intenzivne analize i rasprave države članice EU analizirat će moguće scenarije nulte neto emisije do 2050. godine i revidirati svoje niskougljične strategije, što se odnosi i na Republiku Hrvatsku.</w:t>
      </w:r>
    </w:p>
    <w:p w:rsidR="00DD5863" w:rsidRPr="00D60728" w:rsidRDefault="00DD5863" w:rsidP="00BF7DCC">
      <w:pPr>
        <w:spacing w:line="240" w:lineRule="auto"/>
      </w:pPr>
    </w:p>
    <w:p w:rsidR="00DD5863" w:rsidRPr="00D60728" w:rsidRDefault="00DD5863" w:rsidP="00BF7DCC">
      <w:pPr>
        <w:spacing w:line="240" w:lineRule="auto"/>
      </w:pPr>
      <w:r w:rsidRPr="00D60728">
        <w:t xml:space="preserve">Scenariji NU1 i NU2 vrlo su slični do 2030. godine, tako da ako Republika Hrvatska krene sa scenarijem postupne tranzicije (NU1) ima vremena preusmjeriti se na ambiciozniji scenarij snažne tranzicije (NU2). </w:t>
      </w:r>
    </w:p>
    <w:p w:rsidR="00DD5863" w:rsidRPr="00D60728" w:rsidRDefault="00DD5863" w:rsidP="00BF7DCC">
      <w:pPr>
        <w:spacing w:line="240" w:lineRule="auto"/>
      </w:pPr>
    </w:p>
    <w:p w:rsidR="00DD5863" w:rsidRPr="00D60728" w:rsidRDefault="00DD5863" w:rsidP="00BF7DCC">
      <w:pPr>
        <w:spacing w:line="240" w:lineRule="auto"/>
      </w:pPr>
      <w:r w:rsidRPr="00D60728">
        <w:t xml:space="preserve">Cilj niskougljične strategije je da putanja emisija stakleničkih plinova bude u rasponu između scenarija NU1 i NU2, s težnjom prema ambicioznijem scenariju NU2 (slika 1-2). </w:t>
      </w:r>
    </w:p>
    <w:p w:rsidR="00DD5863" w:rsidRPr="00D60728" w:rsidRDefault="00DD5863" w:rsidP="00BF7DCC">
      <w:pPr>
        <w:spacing w:line="240" w:lineRule="auto"/>
      </w:pPr>
    </w:p>
    <w:p w:rsidR="00DD5863" w:rsidRPr="00D60728" w:rsidRDefault="00DD5863" w:rsidP="00BF7DCC">
      <w:pPr>
        <w:spacing w:line="240" w:lineRule="auto"/>
        <w:jc w:val="center"/>
        <w:rPr>
          <w:sz w:val="20"/>
          <w:szCs w:val="20"/>
        </w:rPr>
      </w:pPr>
      <w:r w:rsidRPr="00D60728">
        <w:rPr>
          <w:noProof/>
          <w:sz w:val="20"/>
          <w:szCs w:val="20"/>
          <w:lang w:eastAsia="hr-HR"/>
        </w:rPr>
        <w:lastRenderedPageBreak/>
        <w:drawing>
          <wp:inline distT="0" distB="0" distL="0" distR="0" wp14:anchorId="4EFD2205" wp14:editId="600EEAE3">
            <wp:extent cx="4412735" cy="2646136"/>
            <wp:effectExtent l="0" t="0" r="698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9646" cy="2650280"/>
                    </a:xfrm>
                    <a:prstGeom prst="rect">
                      <a:avLst/>
                    </a:prstGeom>
                    <a:noFill/>
                  </pic:spPr>
                </pic:pic>
              </a:graphicData>
            </a:graphic>
          </wp:inline>
        </w:drawing>
      </w:r>
    </w:p>
    <w:p w:rsidR="00DD5863" w:rsidRPr="00D60728" w:rsidRDefault="00DD5863" w:rsidP="00BF7DCC">
      <w:pPr>
        <w:pStyle w:val="Slika"/>
        <w:spacing w:line="240" w:lineRule="auto"/>
        <w:jc w:val="center"/>
        <w:rPr>
          <w:rFonts w:ascii="Times New Roman" w:hAnsi="Times New Roman"/>
        </w:rPr>
      </w:pPr>
      <w:bookmarkStart w:id="8" w:name="_Toc26773484"/>
      <w:r w:rsidRPr="00D60728">
        <w:rPr>
          <w:rFonts w:ascii="Times New Roman" w:hAnsi="Times New Roman"/>
        </w:rPr>
        <w:t>Slika 1-2: Smanjenje emisije stakleničkih plinova NUR, NU1 i NU2 scenarijem</w:t>
      </w:r>
      <w:bookmarkEnd w:id="8"/>
    </w:p>
    <w:p w:rsidR="00DD5863" w:rsidRPr="00D60728" w:rsidRDefault="00DD5863" w:rsidP="00BF7DCC">
      <w:pPr>
        <w:spacing w:line="240" w:lineRule="auto"/>
      </w:pPr>
    </w:p>
    <w:p w:rsidR="00DD5863" w:rsidRPr="00D60728" w:rsidRDefault="00DD5863" w:rsidP="00BF7DCC">
      <w:pPr>
        <w:spacing w:line="240" w:lineRule="auto"/>
      </w:pPr>
      <w:r w:rsidRPr="00D60728">
        <w:t xml:space="preserve">U 2030. godini prema NU1 scenariju postiže se ukupno smanjenje od 33,5%, dok se prema NU2 scenariju postiže smanjenje od 36,7%. Najveći doprinos navedenom smanjenju ima sektor industrije (43%), zatim sektor proizvodnje i prerade goriva (18%), sektor poljoprivrede (15%), sektor proizvodnje električne energije i topline (14%) te sektor opće potrošnje (10%). Sektori promet i gospodarenje otpadom bilježe porast emisija u 2030. godini u odnosu na 1990. godinu. </w:t>
      </w:r>
    </w:p>
    <w:p w:rsidR="00DD5863" w:rsidRPr="00D60728" w:rsidRDefault="00DD5863" w:rsidP="00BF7DCC">
      <w:pPr>
        <w:spacing w:line="240" w:lineRule="auto"/>
      </w:pPr>
    </w:p>
    <w:p w:rsidR="00DD5863" w:rsidRPr="00D60728" w:rsidRDefault="00DD5863" w:rsidP="00BF7DCC">
      <w:pPr>
        <w:spacing w:line="240" w:lineRule="auto"/>
      </w:pPr>
      <w:r w:rsidRPr="00D60728">
        <w:t>U 2050. godini prema NU1 postiže se ukupno smanjenje od 56,8% u odnosu na 1990. godinu, dok se prema NU2 scenariju postiže smanjenje od 73,1%. Najveći doprinos navedenom smanjenju ima sektor industrije (36%), zatim sektor proizvodnje električne energije i topline (15%), sektor proizvodnje i prerade goriva (14%), sektor opće potrošnje (13%), sektor poljoprivrede (11%), sektor prometa (9%) te sektor gospodarenje otpadom (1,3%).</w:t>
      </w:r>
    </w:p>
    <w:p w:rsidR="00DD5863" w:rsidRPr="00D60728" w:rsidRDefault="00DD5863" w:rsidP="00BF7DCC">
      <w:pPr>
        <w:spacing w:line="240" w:lineRule="auto"/>
      </w:pPr>
    </w:p>
    <w:p w:rsidR="00DD5863" w:rsidRPr="00D60728" w:rsidRDefault="00DD5863" w:rsidP="00BF7DCC">
      <w:pPr>
        <w:spacing w:line="240" w:lineRule="auto"/>
        <w:rPr>
          <w:b/>
          <w:i/>
          <w:u w:val="single"/>
        </w:rPr>
      </w:pPr>
      <w:r w:rsidRPr="00D60728">
        <w:rPr>
          <w:b/>
          <w:i/>
          <w:u w:val="single"/>
        </w:rPr>
        <w:t>Financiranje</w:t>
      </w:r>
    </w:p>
    <w:p w:rsidR="00DD5863" w:rsidRPr="00D60728" w:rsidRDefault="00DD5863" w:rsidP="00BF7DCC">
      <w:pPr>
        <w:spacing w:line="240" w:lineRule="auto"/>
      </w:pPr>
      <w:r w:rsidRPr="00D60728">
        <w:t>Razlika troškova između niskougljičnih scenarija i referentnog scenarija je trošak društva za put prema niskougljičnom razvoju.</w:t>
      </w:r>
    </w:p>
    <w:p w:rsidR="00DD5863" w:rsidRPr="00D60728" w:rsidRDefault="00DD5863" w:rsidP="00BF7DCC">
      <w:pPr>
        <w:spacing w:line="240" w:lineRule="auto"/>
      </w:pPr>
    </w:p>
    <w:p w:rsidR="00DD5863" w:rsidRPr="00D60728" w:rsidRDefault="00DD5863" w:rsidP="00BF7DCC">
      <w:pPr>
        <w:spacing w:line="240" w:lineRule="auto"/>
      </w:pPr>
      <w:r w:rsidRPr="00D60728">
        <w:t>Da bi došlo do promjena, financijsko poticanje ne može biti ograničeno samo na razliku troška niskougljičnog i referentnog rješenja, već treba biti više od toga. Dugoročno, ulaganja u niskougljične projekte trebaju biti ekonomski održiva. Javni izvori financiranja neće biti dostatni, potrebno je naći instrumente za mobilizaciju privatnih sredstva za ulaganje u poslove koji doprinose niskougljičnoj strategiji i gospodarskom rastu.</w:t>
      </w:r>
    </w:p>
    <w:p w:rsidR="00DD5863" w:rsidRPr="00D60728" w:rsidRDefault="00DD5863" w:rsidP="00BF7DCC">
      <w:pPr>
        <w:spacing w:line="240" w:lineRule="auto"/>
      </w:pPr>
    </w:p>
    <w:p w:rsidR="00DD5863" w:rsidRPr="00D60728" w:rsidRDefault="00DD5863" w:rsidP="00BF7DCC">
      <w:pPr>
        <w:spacing w:line="240" w:lineRule="auto"/>
      </w:pPr>
      <w:r w:rsidRPr="00D60728">
        <w:t>Procjenjuje se da će trošak društva za put prema niskougljičnom razvoju biti od 4,65 do 8,27 mlrd. EUR u razdoblju od 2021. do 2030. godine, odnosno od 13,58 do 21,19 mlrd. EUR u razdoblju od 2031. do 2050. godine.</w:t>
      </w:r>
    </w:p>
    <w:p w:rsidR="00DD5863" w:rsidRPr="00D60728" w:rsidRDefault="00DD5863" w:rsidP="00BF7DCC">
      <w:pPr>
        <w:spacing w:line="240" w:lineRule="auto"/>
      </w:pPr>
    </w:p>
    <w:p w:rsidR="00DD5863" w:rsidRPr="00D60728" w:rsidRDefault="00DD5863" w:rsidP="00BF7DCC">
      <w:pPr>
        <w:spacing w:line="240" w:lineRule="auto"/>
      </w:pPr>
      <w:r w:rsidRPr="00D60728">
        <w:t>Okvir za financiranje mjera u priličnoj mjeri već postoji, u smislu mogućih izvora financiranja. Glavni izvor financiranja biti će sredstva Europskih strukturnih i investicijskih fondova (ESI) i sredstva prikupljena na dražbi emisijskih jedinica CO</w:t>
      </w:r>
      <w:r w:rsidRPr="00D60728">
        <w:rPr>
          <w:vertAlign w:val="subscript"/>
        </w:rPr>
        <w:t>2</w:t>
      </w:r>
      <w:r w:rsidRPr="00D60728">
        <w:t>. Uz to, siguran izvor bit će i sredstva iz Fonda za modernizaciju, Fonda za inovacije, Fonda za povezivanje Europe, Europskog fonda za strateška ulaganja, i dr. Ostali izvori financiranja kao što su Obzor 2020 i Obzor Europa te LIFE program su kompetitivne prirode.</w:t>
      </w:r>
    </w:p>
    <w:p w:rsidR="00DD5863" w:rsidRPr="00D60728" w:rsidRDefault="00DD5863" w:rsidP="00BF7DCC">
      <w:pPr>
        <w:spacing w:line="240" w:lineRule="auto"/>
        <w:rPr>
          <w:u w:val="single"/>
        </w:rPr>
      </w:pPr>
    </w:p>
    <w:p w:rsidR="00DD5863" w:rsidRPr="00D60728" w:rsidRDefault="00DD5863" w:rsidP="00D76EA9">
      <w:pPr>
        <w:spacing w:line="240" w:lineRule="auto"/>
      </w:pPr>
      <w:r w:rsidRPr="00D60728">
        <w:rPr>
          <w:b/>
        </w:rPr>
        <w:t>Važan korak je da se u sljedećem ciklusu financiranja iz ESI fondova (2021.-2027.) poveća udio koji se odnosi na klimatske aktivnosti</w:t>
      </w:r>
      <w:r w:rsidRPr="00D60728">
        <w:t xml:space="preserve"> na preko 20,4%, koliko je raspoloživ u razdoblju od 2014. do 2020. godine. </w:t>
      </w:r>
    </w:p>
    <w:p w:rsidR="00DD5863" w:rsidRPr="00D60728" w:rsidRDefault="00DD5863" w:rsidP="00D76EA9">
      <w:pPr>
        <w:spacing w:line="240" w:lineRule="auto"/>
      </w:pPr>
    </w:p>
    <w:p w:rsidR="00DD5863" w:rsidRPr="00D60728" w:rsidRDefault="00DD5863" w:rsidP="00D76EA9">
      <w:pPr>
        <w:spacing w:line="240" w:lineRule="auto"/>
      </w:pPr>
      <w:r w:rsidRPr="00D60728">
        <w:t>Niskougljična strategija predviđa da će dugoročno za provođenje biti potrebno osigurati dodatna sredstva uvođenjem naknada na emisije za sve djelatnosti koje imaju emisije stakleničkih plinova, to se odnosi i na potrošnju fosilnih goriva za toplinske potrebe u kućanstvima, uslužnoj djelatnosti i prometu.</w:t>
      </w:r>
    </w:p>
    <w:p w:rsidR="00DD5863" w:rsidRPr="00D60728" w:rsidRDefault="00DD5863" w:rsidP="00D76EA9">
      <w:pPr>
        <w:spacing w:line="240" w:lineRule="auto"/>
      </w:pPr>
    </w:p>
    <w:p w:rsidR="00DD5863" w:rsidRPr="00D60728" w:rsidRDefault="00DD5863" w:rsidP="00BF7DCC">
      <w:pPr>
        <w:spacing w:line="240" w:lineRule="auto"/>
        <w:rPr>
          <w:b/>
          <w:i/>
          <w:u w:val="single"/>
        </w:rPr>
      </w:pPr>
      <w:r w:rsidRPr="00D60728">
        <w:rPr>
          <w:b/>
          <w:i/>
          <w:u w:val="single"/>
        </w:rPr>
        <w:t xml:space="preserve">Utjecaj scenarija na okoliš i prirodu </w:t>
      </w:r>
    </w:p>
    <w:p w:rsidR="00DD5863" w:rsidRPr="00D60728" w:rsidRDefault="00DD5863" w:rsidP="00BF7DCC">
      <w:pPr>
        <w:spacing w:line="240" w:lineRule="auto"/>
      </w:pPr>
      <w:r w:rsidRPr="00D60728">
        <w:t xml:space="preserve">Iako provedba Niskougljične strategije ima pozitivan učinak na smanjenje emisija stakleničkih plinova, neki aspekti niskougljičnog razvoja predstavljaju potencijalnu prijetnju za pojedine sastavnice okoliša i prirodu. Neki od primjera su: korištenje obnovljivih izvora energije za proizvodnju električne energije i/ili topline i izgradnja kogeneracijskih postrojenja, trajno skladištenje ugljikovog dioksida te aktivnosti koje mogu dovesti do neposredne ili posredne promjene u korištenju i/ili iskorištavanju poljoprivrednog i šumskog zemljišta i prostora u cjelini (smanjenje udjela klinkera u proizvodnji cementa, korištenje alternativnih goriva - biogoriva u prijevozu, uvođenje novih poljoprivrednih kultura, uključivo i sadnju energetskih usjeva, realizacija hidromelioracijskih zahvata i sustava zaštite od nepogoda te dr.). </w:t>
      </w:r>
    </w:p>
    <w:p w:rsidR="00DD5863" w:rsidRPr="00D60728" w:rsidRDefault="00DD5863" w:rsidP="00BF7DCC">
      <w:pPr>
        <w:spacing w:line="240" w:lineRule="auto"/>
      </w:pPr>
    </w:p>
    <w:p w:rsidR="00DD5863" w:rsidRPr="00D60728" w:rsidRDefault="00DD5863" w:rsidP="00BF7DCC">
      <w:pPr>
        <w:spacing w:line="240" w:lineRule="auto"/>
      </w:pPr>
      <w:r w:rsidRPr="00D60728">
        <w:t>Od pozitivnih učinaka, ističe se pozitivan učinak na zdravlje, osobito u većim naseljima, zbog smanjenja emisija onečišćujućih tvari u zrak SO</w:t>
      </w:r>
      <w:r w:rsidRPr="00D60728">
        <w:rPr>
          <w:vertAlign w:val="subscript"/>
        </w:rPr>
        <w:t>2</w:t>
      </w:r>
      <w:r w:rsidRPr="00D60728">
        <w:t>, NO</w:t>
      </w:r>
      <w:r w:rsidRPr="00D60728">
        <w:rPr>
          <w:vertAlign w:val="subscript"/>
        </w:rPr>
        <w:t>X</w:t>
      </w:r>
      <w:r w:rsidRPr="00D60728">
        <w:t xml:space="preserve"> i sitnih čestica (PM</w:t>
      </w:r>
      <w:r w:rsidRPr="00D60728">
        <w:rPr>
          <w:vertAlign w:val="subscript"/>
        </w:rPr>
        <w:t>2,5</w:t>
      </w:r>
      <w:r w:rsidRPr="00D60728">
        <w:t xml:space="preserve">). </w:t>
      </w:r>
    </w:p>
    <w:p w:rsidR="00DD5863" w:rsidRPr="00D60728" w:rsidRDefault="00DD5863" w:rsidP="00BF7DCC">
      <w:pPr>
        <w:spacing w:line="240" w:lineRule="auto"/>
      </w:pPr>
    </w:p>
    <w:p w:rsidR="00DD5863" w:rsidRPr="00D60728" w:rsidRDefault="00DD5863" w:rsidP="00BF7DCC">
      <w:pPr>
        <w:spacing w:line="240" w:lineRule="auto"/>
      </w:pPr>
      <w:r w:rsidRPr="00D60728">
        <w:t xml:space="preserve">Sukladno obvezama iz propisa s područja zaštite okoliša, provodi se strateška procjena utjecaja Niskougljične strategije na okoliš i glavna ocjena utjecaja na ekološku mrežu. Utjecaji na okoliš i prirodu koji proizlaze iz provedbe mjera Niskougljične strategije nisu se samo jednokratno razmatrali u strateškoj procjeni utjecaja na okoliš, već će se razmatrati i provoditi i dalje, kroz niz postupaka i obveza koji proizlaze iz propisa koji uređuju zaštitu okoliša i prirode te druga područja. </w:t>
      </w:r>
    </w:p>
    <w:p w:rsidR="00DD5863" w:rsidRPr="00D60728" w:rsidRDefault="00DD5863" w:rsidP="00BF7DCC">
      <w:pPr>
        <w:spacing w:line="240" w:lineRule="auto"/>
      </w:pPr>
    </w:p>
    <w:p w:rsidR="00DD5863" w:rsidRPr="00D60728" w:rsidRDefault="00DD5863" w:rsidP="00BF7DCC">
      <w:pPr>
        <w:spacing w:line="240" w:lineRule="auto"/>
        <w:rPr>
          <w:b/>
          <w:i/>
          <w:u w:val="single"/>
        </w:rPr>
      </w:pPr>
      <w:r w:rsidRPr="00D60728">
        <w:rPr>
          <w:b/>
          <w:i/>
          <w:u w:val="single"/>
        </w:rPr>
        <w:t>Socio-gospodarski utjecaji</w:t>
      </w:r>
    </w:p>
    <w:p w:rsidR="00DD5863" w:rsidRPr="00D60728" w:rsidRDefault="00DD5863" w:rsidP="00BF7DCC">
      <w:pPr>
        <w:spacing w:line="240" w:lineRule="auto"/>
      </w:pPr>
      <w:r w:rsidRPr="00D60728">
        <w:t>Ukupne očekivane koristi za društvo (uzimajući u obzir eksterne troškove) su pozitivne i rezultiraju ukupno manjim društvenim troškom. Osnovni izazov provedbe i dinamike promjena je potreba visokih ulaganja koja mogu predstavljati značajan izazov za pojedine segmente gospodarstva i/ili kupaca. Ograničavajući čimbenik ubrzane tranzicije može biti sposobnost gospodarstva, društva i pojedinaca da pravovremeno sudjeluju u procesima zbog velikih početnih ulaganja, bez obzira što procesi tranzicije donose dugoročnu korist društvu i okolišu.</w:t>
      </w:r>
    </w:p>
    <w:p w:rsidR="00DD5863" w:rsidRPr="00D60728" w:rsidRDefault="00DD5863" w:rsidP="00BF7DCC">
      <w:pPr>
        <w:spacing w:line="240" w:lineRule="auto"/>
      </w:pPr>
    </w:p>
    <w:p w:rsidR="00DD5863" w:rsidRDefault="00DD5863" w:rsidP="00BF7DCC">
      <w:pPr>
        <w:spacing w:line="240" w:lineRule="auto"/>
        <w:rPr>
          <w:b/>
        </w:rPr>
      </w:pPr>
      <w:r w:rsidRPr="00D60728">
        <w:rPr>
          <w:b/>
        </w:rPr>
        <w:t>Niskougljičnim razvojem mogu se ostvariti neto koristi za društvo, ali su za provedbu mjera potrebna dodatna sredstva, odnosno bez odgovarajuće politike i mjera tranzicija se neće dogoditi u potrebnom opsegu.</w:t>
      </w:r>
    </w:p>
    <w:p w:rsidR="00D76EA9" w:rsidRPr="00D60728" w:rsidRDefault="00D76EA9" w:rsidP="00BF7DCC">
      <w:pPr>
        <w:spacing w:line="240" w:lineRule="auto"/>
        <w:rPr>
          <w:b/>
        </w:rPr>
      </w:pPr>
    </w:p>
    <w:p w:rsidR="00DD5863" w:rsidRPr="00D60728" w:rsidRDefault="00DD5863" w:rsidP="00BF7DCC">
      <w:pPr>
        <w:spacing w:line="240" w:lineRule="auto"/>
        <w:rPr>
          <w:b/>
          <w:i/>
          <w:u w:val="single"/>
        </w:rPr>
      </w:pPr>
      <w:bookmarkStart w:id="9" w:name="_Toc477868530"/>
      <w:r w:rsidRPr="00D60728">
        <w:rPr>
          <w:b/>
          <w:i/>
          <w:u w:val="single"/>
        </w:rPr>
        <w:t>Obrazovanje i aktivno uključivanje građana u niskougljični razvoj</w:t>
      </w:r>
      <w:bookmarkEnd w:id="9"/>
    </w:p>
    <w:p w:rsidR="00DD5863" w:rsidRPr="00D60728" w:rsidRDefault="00DD5863" w:rsidP="00BF7DCC">
      <w:pPr>
        <w:spacing w:line="240" w:lineRule="auto"/>
      </w:pPr>
      <w:r w:rsidRPr="00D60728">
        <w:t xml:space="preserve">Obrazovni sustav treba postati predvodnik u promicanju načela niskougljičnog razvoja, mladi ljudi koji ulaze u obrazovanje danas, bit će nositelji promjena u budućnosti, bez njihovog znanja i uvjerenja ciljevi ove strategije neće se provesti. Stoga je ovo prioritetna aktivnost  Niskougljične strategije, dugoročno važnija od bilo koje mjere tehničkog tipa. </w:t>
      </w:r>
    </w:p>
    <w:p w:rsidR="00DD5863" w:rsidRPr="00D60728" w:rsidRDefault="00DD5863" w:rsidP="00BF7DCC">
      <w:pPr>
        <w:spacing w:line="240" w:lineRule="auto"/>
      </w:pPr>
    </w:p>
    <w:p w:rsidR="00DD5863" w:rsidRPr="00D60728" w:rsidRDefault="00DD5863" w:rsidP="00BF7DCC">
      <w:pPr>
        <w:spacing w:line="240" w:lineRule="auto"/>
      </w:pPr>
      <w:r w:rsidRPr="00D60728">
        <w:lastRenderedPageBreak/>
        <w:t>U razdoblju od 2021. do 2030. godine sustav podizanja razine pismenosti o održivom razvoju i klimatskim promjenama u Hrvatskoj će se razvijati, dopunjavati i modernizirati u hodu, te stvarati generacije građana Hrvatske koji će biti cjelovito i sustavno „klimatski opismenjeni“.</w:t>
      </w:r>
    </w:p>
    <w:p w:rsidR="00DD5863" w:rsidRPr="00D60728" w:rsidRDefault="00DD5863" w:rsidP="00BF7DCC">
      <w:pPr>
        <w:spacing w:line="240" w:lineRule="auto"/>
      </w:pPr>
    </w:p>
    <w:p w:rsidR="00DD5863" w:rsidRPr="00D60728" w:rsidRDefault="00DD5863" w:rsidP="00BF7DCC">
      <w:pPr>
        <w:spacing w:line="240" w:lineRule="auto"/>
      </w:pPr>
      <w:r w:rsidRPr="00D60728">
        <w:t>Također, u razdoblju do 2030. godine previđa se ubrzanija promjena načina poimanja i obrazaca ponašanja u smjeru Republike Hrvatske kao niskougljičnog društva. S jedne strane, sustavno će rasti pismenost, s druge „učenje iz nužde“, a s treće niskougljična praktična rješenja u organizaciji društvenog života, produkcije, potrošnje i upravljanja razvojem u smjeru porasta održivosti.</w:t>
      </w:r>
    </w:p>
    <w:p w:rsidR="00DD5863" w:rsidRPr="00D60728" w:rsidRDefault="00DD5863" w:rsidP="00BF7DCC">
      <w:pPr>
        <w:spacing w:line="240" w:lineRule="auto"/>
      </w:pPr>
    </w:p>
    <w:p w:rsidR="00DD5863" w:rsidRPr="00D60728" w:rsidRDefault="00DD5863" w:rsidP="00BF7DCC">
      <w:pPr>
        <w:spacing w:line="240" w:lineRule="auto"/>
        <w:rPr>
          <w:b/>
          <w:i/>
          <w:u w:val="single"/>
        </w:rPr>
      </w:pPr>
      <w:r w:rsidRPr="00D60728">
        <w:rPr>
          <w:b/>
          <w:i/>
          <w:u w:val="single"/>
        </w:rPr>
        <w:t xml:space="preserve">Istraživanje, razvoj i inovacije </w:t>
      </w:r>
    </w:p>
    <w:p w:rsidR="00DD5863" w:rsidRPr="00D60728" w:rsidRDefault="00DD5863" w:rsidP="00BF7DCC">
      <w:pPr>
        <w:spacing w:line="240" w:lineRule="auto"/>
      </w:pPr>
      <w:r w:rsidRPr="00D60728">
        <w:t xml:space="preserve">Dosadašnja ulaganja u istraživanje, razvoj i inovacije po pitanju klimatskih promjena bila su potpuno zanemariva i nedostatno raspoznata u postojećim strateškim dokumentima.  Istraživanje i razvoj su među najvećim potencijalnim faktorima doprinosa rastu BDP-a, odmah nakon povećanja zaposlenosti, stoga je u Hrvatskoj potrebno povećanje izdataka za  istraživanje i razvoj, bliže prosječnoj razini EU-a. Pristup sredstvima treba omogućiti i privatnom sektoru, za primijenjena i znanstvena istraživanja, pilot i demonstracijske projekte. U planiranju programa financiranja i u praćenju realizacije treba biti snažno uključeno ministarstvo nadležno za politike klime, međukoordinacijska tijela i predstavnici izvan javnog sektora.  </w:t>
      </w:r>
    </w:p>
    <w:p w:rsidR="00DD5863" w:rsidRPr="00D60728" w:rsidRDefault="00DD5863" w:rsidP="00BF7DCC">
      <w:pPr>
        <w:spacing w:line="240" w:lineRule="auto"/>
        <w:rPr>
          <w:b/>
          <w:i/>
          <w:u w:val="single"/>
        </w:rPr>
      </w:pPr>
    </w:p>
    <w:p w:rsidR="00DD5863" w:rsidRPr="00D60728" w:rsidRDefault="00DD5863" w:rsidP="00BF7DCC">
      <w:pPr>
        <w:spacing w:line="240" w:lineRule="auto"/>
        <w:rPr>
          <w:b/>
          <w:i/>
          <w:u w:val="single"/>
        </w:rPr>
      </w:pPr>
      <w:r w:rsidRPr="00D60728">
        <w:t>Elemente niskougljičnog razvoja potrebno je integrirati u programe poticanja inovacija, istraživanja i razvoja visokih tehnologija u privatnom i javnom sektoru.</w:t>
      </w:r>
    </w:p>
    <w:p w:rsidR="00DD5863" w:rsidRPr="00D60728" w:rsidRDefault="00DD5863" w:rsidP="00BF7DCC">
      <w:pPr>
        <w:spacing w:line="240" w:lineRule="auto"/>
        <w:rPr>
          <w:b/>
          <w:i/>
          <w:u w:val="single"/>
        </w:rPr>
      </w:pPr>
      <w:bookmarkStart w:id="10" w:name="_Toc477868529"/>
    </w:p>
    <w:p w:rsidR="00DD5863" w:rsidRPr="00D60728" w:rsidRDefault="00DD5863" w:rsidP="00BF7DCC">
      <w:pPr>
        <w:spacing w:line="240" w:lineRule="auto"/>
        <w:rPr>
          <w:b/>
          <w:i/>
          <w:u w:val="single"/>
        </w:rPr>
      </w:pPr>
      <w:r w:rsidRPr="00D60728">
        <w:rPr>
          <w:b/>
          <w:i/>
          <w:u w:val="single"/>
        </w:rPr>
        <w:t>Niskougljični razvoj na lokalnoj razini</w:t>
      </w:r>
      <w:bookmarkEnd w:id="10"/>
    </w:p>
    <w:p w:rsidR="00DD5863" w:rsidRPr="00D60728" w:rsidRDefault="00DD5863" w:rsidP="00BF7DCC">
      <w:pPr>
        <w:spacing w:line="240" w:lineRule="auto"/>
      </w:pPr>
      <w:r w:rsidRPr="00D60728">
        <w:t xml:space="preserve">Provedbom niskougljične strategije treba uspostaviti bolju povezanost i sinergijske učinke politika na državnoj razini i lokalnim razinama. Djelovanje se sve više pomiče na samostalne aktivnosti lokalnih uprava i gradova. Ambicioznije inicijative kao što su ugljično neutralni otoci, gradovi i slično treba podržati. U tome je osobito važno povezivanje aktivnosti koje se provode u okviru inicijative „Povelja gradonačelnika“, koncepta „pametnih gradova“ i inovativnih platformi. Na lokalnoj razini dolazi do povezivanja mjera ublažavanja i prilagodbe klimatskim promjenama te je sinergija korištenja resursa najsnažnija. </w:t>
      </w:r>
    </w:p>
    <w:p w:rsidR="00DD5863" w:rsidRPr="00D60728" w:rsidRDefault="00DD5863" w:rsidP="00BF7DCC">
      <w:pPr>
        <w:spacing w:line="240" w:lineRule="auto"/>
      </w:pPr>
    </w:p>
    <w:p w:rsidR="00DD5863" w:rsidRPr="00D60728" w:rsidRDefault="00DD5863" w:rsidP="00BF7DCC">
      <w:pPr>
        <w:spacing w:line="240" w:lineRule="auto"/>
      </w:pPr>
      <w:r w:rsidRPr="00D60728">
        <w:t xml:space="preserve">Niskougljična strategija ukazuje na niz mjera pri planiranju i  izgradnji integralnih sustava u gradovima. Mjere uključuju javni i ostali promet, zgradarstvo, komunalne sustave, autonomne sustave, obrazovne sustave, ICT tehnologije, urbanizam, inovativna rješenja u raznim područjima, uključivo obrazovanje i podizanje javne svijesti. </w:t>
      </w:r>
    </w:p>
    <w:p w:rsidR="00DD5863" w:rsidRPr="00D60728" w:rsidRDefault="00DD5863" w:rsidP="00BF7DCC">
      <w:pPr>
        <w:spacing w:line="240" w:lineRule="auto"/>
      </w:pPr>
    </w:p>
    <w:p w:rsidR="00DD5863" w:rsidRPr="00D60728" w:rsidRDefault="00DD5863" w:rsidP="00BF7DCC">
      <w:pPr>
        <w:keepNext/>
        <w:spacing w:line="240" w:lineRule="auto"/>
        <w:rPr>
          <w:i/>
          <w:highlight w:val="yellow"/>
          <w:u w:val="single"/>
        </w:rPr>
      </w:pPr>
      <w:r w:rsidRPr="00D60728">
        <w:rPr>
          <w:b/>
          <w:i/>
          <w:u w:val="single"/>
        </w:rPr>
        <w:t>Niskougljično gospodarstvo i obrasci poslovanja</w:t>
      </w:r>
      <w:r w:rsidRPr="00D60728">
        <w:rPr>
          <w:i/>
          <w:highlight w:val="yellow"/>
          <w:u w:val="single"/>
        </w:rPr>
        <w:t xml:space="preserve"> </w:t>
      </w:r>
    </w:p>
    <w:p w:rsidR="00DD5863" w:rsidRPr="00D60728" w:rsidRDefault="00DD5863" w:rsidP="00BF7DCC">
      <w:pPr>
        <w:keepNext/>
        <w:spacing w:line="240" w:lineRule="auto"/>
        <w:rPr>
          <w:lang w:eastAsia="hr-HR"/>
        </w:rPr>
      </w:pPr>
      <w:r w:rsidRPr="00D60728">
        <w:t>Vezano za obrasce poslovanja najznačajniji je preobražaj poslovanja po načelima kružnog gospodarstva.</w:t>
      </w:r>
      <w:r w:rsidRPr="00D60728">
        <w:rPr>
          <w:lang w:eastAsia="hr-HR"/>
        </w:rPr>
        <w:t xml:space="preserve"> Potrebno je provoditi politiku održive potrošnje i proizvodnje, potaknuti održive obrasce ponašanja i poslovanja u svim gospodarskim sektorima. Treba povoditi koncept „životni ciklus proizvoda i usluga“ (LCA) koji prati okolišni otisak proizvoda i usluga, a utemeljen je na znanstvenim pokazateljima. Cilj je smanjiti potrošnju prirodnih dobara, smanjiti nastanak opasnih i toksičnih tvari, smanjiti emisije u zrak, vodu i tlo te smanjiti ili spriječiti nastajanje otpada na mjestu nastanka.</w:t>
      </w:r>
    </w:p>
    <w:p w:rsidR="00DD5863" w:rsidRPr="00D60728" w:rsidRDefault="00DD5863" w:rsidP="00BF7DCC">
      <w:pPr>
        <w:spacing w:line="240" w:lineRule="auto"/>
        <w:rPr>
          <w:lang w:eastAsia="hr-HR"/>
        </w:rPr>
      </w:pPr>
    </w:p>
    <w:p w:rsidR="00DD5863" w:rsidRPr="00D60728" w:rsidRDefault="00DD5863" w:rsidP="00BF7DCC">
      <w:pPr>
        <w:spacing w:line="240" w:lineRule="auto"/>
      </w:pPr>
      <w:r w:rsidRPr="00D60728">
        <w:t xml:space="preserve">Primjena načela niskougljičnog razvoja u poslovnim organizacijama je uglavnom dobrovoljna, što znači da vodstva organizacija primjenjuju ova načela očekujući da će dugoročno ostvariti određenu korist. Zbog toga uspjeh ovisi o dva elementa: prvenstveno o jačanju svijesti i </w:t>
      </w:r>
      <w:r w:rsidRPr="00D60728">
        <w:lastRenderedPageBreak/>
        <w:t>edukaciji osoba odgovornih za upravljanje organizacijama i donošenje ključnih poslovnih odluka (visokog menadžmenta) te o stvaranju poticajnog poslovnog okruženja u kojem će organizacije prepoznati korist od primjene načela niskougljičnog razvoja, s time da ta korist nije nužno materijalna ili se barem tek dugoročno može materijalizirati.</w:t>
      </w:r>
    </w:p>
    <w:p w:rsidR="00DD5863" w:rsidRPr="00D60728" w:rsidRDefault="00DD5863" w:rsidP="00BF7DCC">
      <w:pPr>
        <w:spacing w:line="240" w:lineRule="auto"/>
      </w:pPr>
    </w:p>
    <w:p w:rsidR="00DD5863" w:rsidRPr="00D60728" w:rsidRDefault="00DD5863" w:rsidP="00BF7DCC">
      <w:pPr>
        <w:spacing w:line="240" w:lineRule="auto"/>
      </w:pPr>
      <w:r w:rsidRPr="00D60728">
        <w:t xml:space="preserve">Vezano za konkretne mjere, radi se o poticanju uspostave sustava kvalitete, sustava upravljanja okolišem, određivanju ugljičnog otiska, ekološkom licenciranju, zelenoj javnoj nabavi, itd.  Navedeno podrazumijeva i izgradnju adekvatne informatičke infrastrukture, baza podataka, modela proračuna. </w:t>
      </w:r>
    </w:p>
    <w:p w:rsidR="00DD5863" w:rsidRPr="00D60728" w:rsidRDefault="00DD5863" w:rsidP="00BF7DCC">
      <w:pPr>
        <w:spacing w:line="240" w:lineRule="auto"/>
        <w:rPr>
          <w:b/>
          <w:i/>
          <w:u w:val="single"/>
        </w:rPr>
      </w:pPr>
    </w:p>
    <w:p w:rsidR="00DD5863" w:rsidRPr="00D60728" w:rsidRDefault="00DD5863" w:rsidP="00BF7DCC">
      <w:pPr>
        <w:spacing w:line="240" w:lineRule="auto"/>
        <w:rPr>
          <w:b/>
          <w:i/>
          <w:u w:val="single"/>
        </w:rPr>
      </w:pPr>
      <w:r w:rsidRPr="00D60728">
        <w:rPr>
          <w:b/>
          <w:i/>
          <w:u w:val="single"/>
        </w:rPr>
        <w:t xml:space="preserve">Međunarodna suradnja </w:t>
      </w:r>
    </w:p>
    <w:p w:rsidR="00DD5863" w:rsidRPr="00D76EA9" w:rsidRDefault="00DD5863" w:rsidP="00BF7DCC">
      <w:pPr>
        <w:spacing w:line="240" w:lineRule="auto"/>
      </w:pPr>
      <w:r w:rsidRPr="00D60728">
        <w:t>Pariškim sporazumom utvrđeno je da će razvijene države svijeta i dalje pomagati državama u razvoju u provođenju mjera za ublažavanje klimatskih promjena i prilagodbi na klimatske promjene, u cilju ispunjenja njihovih obveza prema UNFCCC. Generalno, tri su vida moguće pomoći: financiranje, transfer tehnologija i izgradnja kapaciteta.</w:t>
      </w:r>
    </w:p>
    <w:p w:rsidR="00DD5863" w:rsidRPr="00D60728" w:rsidRDefault="00DD5863" w:rsidP="00BF7DCC">
      <w:pPr>
        <w:spacing w:line="240" w:lineRule="auto"/>
        <w:ind w:left="708"/>
      </w:pPr>
      <w:r w:rsidRPr="00D60728">
        <w:rPr>
          <w:u w:val="single"/>
        </w:rPr>
        <w:t>Hrvatska u ulozi primatelja</w:t>
      </w:r>
      <w:r w:rsidRPr="00D60728">
        <w:t xml:space="preserve">. Potrebno je identificirati međunarodne programe i projekte na koje se može kvalificirati Hrvatska ili za koje se mogu kvalificirati pojedinačni subjekti iz Hrvatske. </w:t>
      </w:r>
    </w:p>
    <w:p w:rsidR="00DD5863" w:rsidRPr="00D60728" w:rsidRDefault="00DD5863" w:rsidP="00BF7DCC">
      <w:pPr>
        <w:spacing w:line="240" w:lineRule="auto"/>
        <w:ind w:left="674"/>
        <w:rPr>
          <w:u w:val="single"/>
        </w:rPr>
      </w:pPr>
    </w:p>
    <w:p w:rsidR="00DD5863" w:rsidRPr="00D60728" w:rsidRDefault="00DD5863" w:rsidP="00BF7DCC">
      <w:pPr>
        <w:spacing w:line="240" w:lineRule="auto"/>
        <w:ind w:left="674"/>
      </w:pPr>
      <w:r w:rsidRPr="00D60728">
        <w:rPr>
          <w:u w:val="single"/>
        </w:rPr>
        <w:t>Hrvatska u ulozi davatelja.</w:t>
      </w:r>
      <w:r w:rsidRPr="00D60728">
        <w:t xml:space="preserve"> Pružanje pomoći kroz transfer tehnologija, što podrazumijeva tok znanja, iskustva i opreme iz Hrvatske, moguće je ostvariti također kroz međunarodne projekte i programe, ali i kroz druge oblike suradnje, kao što je bilateralna suradnja. </w:t>
      </w:r>
    </w:p>
    <w:p w:rsidR="00DD5863" w:rsidRPr="00D60728" w:rsidRDefault="00DD5863" w:rsidP="00BF7DCC">
      <w:pPr>
        <w:spacing w:line="240" w:lineRule="auto"/>
      </w:pPr>
    </w:p>
    <w:p w:rsidR="00DD5863" w:rsidRPr="00D60728" w:rsidRDefault="00DD5863" w:rsidP="00BF7DCC">
      <w:pPr>
        <w:spacing w:line="240" w:lineRule="auto"/>
        <w:rPr>
          <w:b/>
          <w:i/>
          <w:u w:val="single"/>
        </w:rPr>
      </w:pPr>
      <w:r w:rsidRPr="00D60728">
        <w:rPr>
          <w:b/>
          <w:i/>
          <w:u w:val="single"/>
        </w:rPr>
        <w:t xml:space="preserve">Provedba Niskougljične strategije </w:t>
      </w:r>
    </w:p>
    <w:p w:rsidR="00DD5863" w:rsidRPr="00D60728" w:rsidRDefault="00DD5863" w:rsidP="00BF7DCC">
      <w:pPr>
        <w:spacing w:line="240" w:lineRule="auto"/>
      </w:pPr>
      <w:r w:rsidRPr="00D60728">
        <w:t xml:space="preserve">Za učinkovitu provedbu Niskougljične strategije potrebno je osnažiti međusektorsku koordinaciju. </w:t>
      </w:r>
      <w:r w:rsidRPr="00D60728">
        <w:rPr>
          <w:b/>
        </w:rPr>
        <w:t>Republika Hrvatska ostvarila je velik napredak u institucionalnom ustroju tako što je formirano Ministarstvo zaštite okoliša i energetike.</w:t>
      </w:r>
      <w:r w:rsidRPr="00D60728">
        <w:t xml:space="preserve"> Postojećim stanjem osigurana je koordinacija kroz dva međusektorska povjerenstva: Povjerenstvo za međusektorsku koordinaciju za nacionalni sustav za praćenje emisija stakleničkih plinova i Povjerenstvo za međusektorsku koordinaciju za politiku i mjere za ublažavanje i prilagodbu klimatskim promjenama. Pored navedenog, potrebno je uvesti funkciju </w:t>
      </w:r>
      <w:r w:rsidRPr="00D60728">
        <w:rPr>
          <w:b/>
        </w:rPr>
        <w:t>centralne koordinacije funkcije za održivi razvoj i klimatske aktivnosti pri Vladi Republike Hrvatske</w:t>
      </w:r>
      <w:r w:rsidRPr="00D60728">
        <w:t>. Ministarstvo zaštite okoliša i energetike ostaje središnje tijelo državne uprave nadležno za pitanja održivog razvoja, ublažavanje i prilagodbu klimatskim promjenama.</w:t>
      </w:r>
    </w:p>
    <w:p w:rsidR="00DD5863" w:rsidRPr="00D60728" w:rsidRDefault="00DD5863" w:rsidP="00BF7DCC">
      <w:pPr>
        <w:spacing w:line="240" w:lineRule="auto"/>
      </w:pPr>
    </w:p>
    <w:p w:rsidR="00DD5863" w:rsidRPr="00D60728" w:rsidRDefault="00DD5863" w:rsidP="00BF7DCC">
      <w:pPr>
        <w:spacing w:line="240" w:lineRule="auto"/>
      </w:pPr>
      <w:r w:rsidRPr="00D60728">
        <w:t xml:space="preserve">Praćenje napretka uvjetovano je međunarodnim izvještavanjima, vezano za inventar emisija, projekcije, politike i mjere i ostvarene rezultate, financiranje i ostalo. Izvještavanja su na godišnjoj bazi, svake dvije godine i svakih pet godina za obnavljanje ciljeva. Svi ključni dokumenti podložni su stručnim pregledima međunarodnih timova stručnjaka. Potrebni su za izvještavanja dodatni kadrovski, organizacijski i stručni kapaciteti, pri čemu je jasno da se država mora osloniti na niz institucija i odlučiti o osnivanju tematskih fokusnih središta. </w:t>
      </w:r>
    </w:p>
    <w:p w:rsidR="00DD5863" w:rsidRPr="00D60728" w:rsidRDefault="00DD5863" w:rsidP="00BF7DCC">
      <w:pPr>
        <w:spacing w:line="240" w:lineRule="auto"/>
      </w:pPr>
    </w:p>
    <w:p w:rsidR="00DD5863" w:rsidRPr="00D60728" w:rsidRDefault="00DD5863" w:rsidP="00BF7DCC">
      <w:pPr>
        <w:spacing w:line="240" w:lineRule="auto"/>
      </w:pPr>
      <w:r w:rsidRPr="00D60728">
        <w:t>Niskougljičnom strategijom se predlaže petnaest glavnih indikatora praćenja. Predlaže se uvođenje računovodstvenog praćenja troškova za provedbu Niskougljične strategije, što znači, po svim horizontalnim sektorima.</w:t>
      </w:r>
    </w:p>
    <w:p w:rsidR="00DD5863" w:rsidRPr="00D60728" w:rsidRDefault="00DD5863" w:rsidP="00BF7DCC">
      <w:pPr>
        <w:spacing w:line="240" w:lineRule="auto"/>
      </w:pPr>
    </w:p>
    <w:p w:rsidR="00DD5863" w:rsidRPr="00D60728" w:rsidRDefault="00DD5863" w:rsidP="00BF7DCC">
      <w:pPr>
        <w:spacing w:line="240" w:lineRule="auto"/>
      </w:pPr>
      <w:r w:rsidRPr="00D60728">
        <w:t xml:space="preserve">Za Niskougljičnu strategiju izradit će se Akcijski plan provedbe za razdoblje od pet godina, u kojem će se detaljnije utvrditi aktivnosti.    </w:t>
      </w:r>
    </w:p>
    <w:p w:rsidR="008F2F2E" w:rsidRPr="00D60728" w:rsidRDefault="008F2F2E" w:rsidP="00BF7DCC">
      <w:pPr>
        <w:spacing w:line="240" w:lineRule="auto"/>
        <w:jc w:val="left"/>
        <w:rPr>
          <w:rFonts w:eastAsia="Arial Unicode MS"/>
          <w:b/>
          <w:sz w:val="20"/>
          <w:szCs w:val="20"/>
        </w:rPr>
      </w:pPr>
    </w:p>
    <w:p w:rsidR="008F2F2E" w:rsidRPr="00BF7DCC" w:rsidRDefault="008F2F2E" w:rsidP="00BF7DCC">
      <w:pPr>
        <w:pStyle w:val="Heading1"/>
        <w:spacing w:after="0" w:line="240" w:lineRule="auto"/>
        <w:rPr>
          <w:rFonts w:cs="Times New Roman"/>
          <w:sz w:val="28"/>
          <w:szCs w:val="28"/>
        </w:rPr>
      </w:pPr>
      <w:bookmarkStart w:id="11" w:name="_Toc24632356"/>
      <w:bookmarkStart w:id="12" w:name="_Toc24634706"/>
      <w:bookmarkStart w:id="13" w:name="_Toc24702446"/>
      <w:bookmarkStart w:id="14" w:name="_Toc34147568"/>
      <w:r w:rsidRPr="00BF7DCC">
        <w:rPr>
          <w:rFonts w:cs="Times New Roman"/>
          <w:sz w:val="28"/>
          <w:szCs w:val="28"/>
        </w:rPr>
        <w:t>3.</w:t>
      </w:r>
      <w:r w:rsidRPr="00BF7DCC">
        <w:rPr>
          <w:rFonts w:cs="Times New Roman"/>
          <w:sz w:val="28"/>
          <w:szCs w:val="28"/>
        </w:rPr>
        <w:tab/>
        <w:t>MJERE I PROVEDBA</w:t>
      </w:r>
      <w:bookmarkEnd w:id="11"/>
      <w:bookmarkEnd w:id="12"/>
      <w:bookmarkEnd w:id="13"/>
      <w:bookmarkEnd w:id="14"/>
    </w:p>
    <w:p w:rsidR="009D0F33" w:rsidRDefault="009D0F33" w:rsidP="00BF7DCC">
      <w:pPr>
        <w:spacing w:line="240" w:lineRule="auto"/>
      </w:pPr>
    </w:p>
    <w:p w:rsidR="00DB3CF6" w:rsidRPr="00D60728" w:rsidRDefault="00787D39" w:rsidP="00BF7DCC">
      <w:pPr>
        <w:spacing w:line="240" w:lineRule="auto"/>
      </w:pPr>
      <w:r w:rsidRPr="00D60728">
        <w:t>M</w:t>
      </w:r>
      <w:r w:rsidR="008013CC" w:rsidRPr="00D60728">
        <w:t>jere, čijom se provedbom planiraju ostvariti zadani ciljevi smanjenja emisija i ublažavanja klimatskih promjena, koje su uključene u niskougljične scenarije, prikazane su odvojeno po sektorima</w:t>
      </w:r>
      <w:r w:rsidR="00DB3CF6" w:rsidRPr="00D60728">
        <w:t xml:space="preserve"> (tablica 3.1-1)</w:t>
      </w:r>
      <w:r w:rsidR="008013CC" w:rsidRPr="00D60728">
        <w:t>.</w:t>
      </w:r>
    </w:p>
    <w:p w:rsidR="00DB3CF6" w:rsidRPr="00D60728" w:rsidRDefault="00DB3CF6" w:rsidP="00BF7DCC">
      <w:pPr>
        <w:spacing w:line="240" w:lineRule="auto"/>
      </w:pPr>
    </w:p>
    <w:p w:rsidR="00DB3CF6" w:rsidRPr="00D60728" w:rsidRDefault="00DB3CF6" w:rsidP="00BF7DCC">
      <w:pPr>
        <w:spacing w:line="240" w:lineRule="auto"/>
      </w:pPr>
      <w:r w:rsidRPr="00D60728">
        <w:t>Za svaku mjeru dan je detaljan opis, nositelj svih aktivnosti, struktura i izvori financiranja, očekivani rezultati, način praćenja provedbe mjere te vremenski okvir provedbe određene mjere.</w:t>
      </w:r>
    </w:p>
    <w:p w:rsidR="00F7031F" w:rsidRPr="00D60728" w:rsidRDefault="00F7031F" w:rsidP="00BF7DCC">
      <w:pPr>
        <w:spacing w:line="240" w:lineRule="auto"/>
      </w:pPr>
    </w:p>
    <w:p w:rsidR="008013CC" w:rsidRDefault="00DB3CF6" w:rsidP="00BF7DCC">
      <w:pPr>
        <w:pStyle w:val="Tablica"/>
        <w:spacing w:after="0" w:line="240" w:lineRule="auto"/>
        <w:jc w:val="left"/>
        <w:rPr>
          <w:rFonts w:ascii="Times New Roman" w:hAnsi="Times New Roman"/>
          <w:i/>
          <w:szCs w:val="24"/>
        </w:rPr>
      </w:pPr>
      <w:bookmarkStart w:id="15" w:name="_Toc24701406"/>
      <w:bookmarkStart w:id="16" w:name="_Toc27940044"/>
      <w:r w:rsidRPr="00D60728">
        <w:rPr>
          <w:rFonts w:ascii="Times New Roman" w:hAnsi="Times New Roman"/>
          <w:i/>
          <w:szCs w:val="24"/>
        </w:rPr>
        <w:t>Tablica 3.1-1: Popis mjera uključenih u niskougljične scenarije</w:t>
      </w:r>
      <w:bookmarkEnd w:id="15"/>
      <w:bookmarkEnd w:id="16"/>
    </w:p>
    <w:p w:rsidR="00707212" w:rsidRPr="00D60728" w:rsidRDefault="00707212" w:rsidP="00BF7DCC">
      <w:pPr>
        <w:pStyle w:val="Tablica"/>
        <w:spacing w:after="0" w:line="240" w:lineRule="auto"/>
        <w:jc w:val="left"/>
        <w:rPr>
          <w:rFonts w:ascii="Times New Roman" w:hAnsi="Times New Roman"/>
          <w:i/>
          <w:szCs w:val="24"/>
        </w:rPr>
      </w:pPr>
    </w:p>
    <w:tbl>
      <w:tblPr>
        <w:tblStyle w:val="TableGrid"/>
        <w:tblW w:w="9071" w:type="dxa"/>
        <w:tblLayout w:type="fixed"/>
        <w:tblLook w:val="04A0" w:firstRow="1" w:lastRow="0" w:firstColumn="1" w:lastColumn="0" w:noHBand="0" w:noVBand="1"/>
      </w:tblPr>
      <w:tblGrid>
        <w:gridCol w:w="1134"/>
        <w:gridCol w:w="1134"/>
        <w:gridCol w:w="6803"/>
      </w:tblGrid>
      <w:tr w:rsidR="00975DF5" w:rsidRPr="00D60728" w:rsidTr="00E06FEE">
        <w:trPr>
          <w:trHeight w:val="397"/>
        </w:trPr>
        <w:tc>
          <w:tcPr>
            <w:tcW w:w="1134" w:type="dxa"/>
            <w:tcBorders>
              <w:bottom w:val="single" w:sz="4" w:space="0" w:color="auto"/>
            </w:tcBorders>
            <w:shd w:val="clear" w:color="auto" w:fill="A6A6A6" w:themeFill="background1" w:themeFillShade="A6"/>
            <w:noWrap/>
            <w:hideMark/>
          </w:tcPr>
          <w:p w:rsidR="00975DF5" w:rsidRPr="00D60728" w:rsidRDefault="00975DF5" w:rsidP="00BF7DCC">
            <w:pPr>
              <w:spacing w:line="240" w:lineRule="auto"/>
              <w:rPr>
                <w:rFonts w:ascii="Times New Roman" w:hAnsi="Times New Roman"/>
                <w:b/>
                <w:sz w:val="20"/>
                <w:szCs w:val="20"/>
              </w:rPr>
            </w:pPr>
            <w:r w:rsidRPr="00D60728">
              <w:rPr>
                <w:rFonts w:ascii="Times New Roman" w:hAnsi="Times New Roman"/>
                <w:b/>
                <w:sz w:val="20"/>
                <w:szCs w:val="20"/>
              </w:rPr>
              <w:t>OZNAKA MJERE</w:t>
            </w:r>
            <w:r w:rsidRPr="00D60728">
              <w:rPr>
                <w:rStyle w:val="FootnoteReference"/>
                <w:rFonts w:ascii="Times New Roman" w:hAnsi="Times New Roman"/>
                <w:b/>
                <w:sz w:val="20"/>
                <w:szCs w:val="20"/>
              </w:rPr>
              <w:footnoteReference w:id="1"/>
            </w:r>
          </w:p>
        </w:tc>
        <w:tc>
          <w:tcPr>
            <w:tcW w:w="1134" w:type="dxa"/>
            <w:tcBorders>
              <w:bottom w:val="single" w:sz="4" w:space="0" w:color="auto"/>
            </w:tcBorders>
            <w:shd w:val="clear" w:color="auto" w:fill="A6A6A6" w:themeFill="background1" w:themeFillShade="A6"/>
          </w:tcPr>
          <w:p w:rsidR="00975DF5" w:rsidRPr="00D60728" w:rsidRDefault="00975DF5" w:rsidP="00BF7DCC">
            <w:pPr>
              <w:spacing w:line="240" w:lineRule="auto"/>
              <w:rPr>
                <w:rFonts w:ascii="Times New Roman" w:hAnsi="Times New Roman"/>
                <w:b/>
                <w:sz w:val="20"/>
                <w:szCs w:val="20"/>
              </w:rPr>
            </w:pPr>
            <w:r w:rsidRPr="00D60728">
              <w:rPr>
                <w:rFonts w:ascii="Times New Roman" w:hAnsi="Times New Roman"/>
                <w:b/>
                <w:sz w:val="20"/>
                <w:szCs w:val="20"/>
              </w:rPr>
              <w:t>OZNAKA MJERE</w:t>
            </w:r>
            <w:r w:rsidRPr="00D60728">
              <w:rPr>
                <w:rStyle w:val="FootnoteReference"/>
                <w:rFonts w:ascii="Times New Roman" w:hAnsi="Times New Roman"/>
                <w:b/>
                <w:sz w:val="20"/>
                <w:szCs w:val="20"/>
              </w:rPr>
              <w:footnoteReference w:id="2"/>
            </w:r>
          </w:p>
        </w:tc>
        <w:tc>
          <w:tcPr>
            <w:tcW w:w="6803" w:type="dxa"/>
            <w:tcBorders>
              <w:bottom w:val="single" w:sz="4" w:space="0" w:color="auto"/>
            </w:tcBorders>
            <w:shd w:val="clear" w:color="auto" w:fill="A6A6A6" w:themeFill="background1" w:themeFillShade="A6"/>
            <w:vAlign w:val="center"/>
            <w:hideMark/>
          </w:tcPr>
          <w:p w:rsidR="00975DF5" w:rsidRPr="00D60728" w:rsidRDefault="00975DF5" w:rsidP="00BF7DCC">
            <w:pPr>
              <w:spacing w:line="240" w:lineRule="auto"/>
              <w:jc w:val="center"/>
              <w:rPr>
                <w:rFonts w:ascii="Times New Roman" w:hAnsi="Times New Roman"/>
                <w:b/>
                <w:sz w:val="20"/>
                <w:szCs w:val="20"/>
              </w:rPr>
            </w:pPr>
            <w:r w:rsidRPr="00D60728">
              <w:rPr>
                <w:rFonts w:ascii="Times New Roman" w:hAnsi="Times New Roman"/>
                <w:b/>
                <w:sz w:val="20"/>
                <w:szCs w:val="20"/>
              </w:rPr>
              <w:t>NAZIV MJERE</w:t>
            </w:r>
          </w:p>
        </w:tc>
      </w:tr>
      <w:tr w:rsidR="00975DF5" w:rsidRPr="00D60728" w:rsidTr="00E06FEE">
        <w:trPr>
          <w:trHeight w:val="397"/>
        </w:trPr>
        <w:tc>
          <w:tcPr>
            <w:tcW w:w="9071" w:type="dxa"/>
            <w:gridSpan w:val="3"/>
            <w:shd w:val="clear" w:color="auto" w:fill="D9D9D9" w:themeFill="background1" w:themeFillShade="D9"/>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b/>
                <w:bCs/>
                <w:sz w:val="20"/>
                <w:szCs w:val="20"/>
              </w:rPr>
              <w:t>MEĐUSEKTORSKE MJERE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w:t>
            </w:r>
          </w:p>
        </w:tc>
        <w:tc>
          <w:tcPr>
            <w:tcW w:w="1134" w:type="dxa"/>
          </w:tcPr>
          <w:p w:rsidR="00975DF5" w:rsidRPr="00D60728" w:rsidRDefault="00975DF5" w:rsidP="00BF7DCC">
            <w:pPr>
              <w:spacing w:line="240" w:lineRule="auto"/>
              <w:jc w:val="left"/>
              <w:rPr>
                <w:rFonts w:ascii="Times New Roman" w:hAnsi="Times New Roman"/>
                <w:sz w:val="20"/>
                <w:szCs w:val="20"/>
              </w:rPr>
            </w:pPr>
            <w:r w:rsidRPr="00D60728">
              <w:rPr>
                <w:rFonts w:ascii="Times New Roman" w:hAnsi="Times New Roman"/>
                <w:sz w:val="20"/>
                <w:szCs w:val="20"/>
              </w:rPr>
              <w:t>MS-1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Povjerenstvo za međusektorsku koordinaciju za politiku i mjere za ublažavanje i prilagodbu klimatskim promjenama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MS-2</w:t>
            </w:r>
          </w:p>
        </w:tc>
        <w:tc>
          <w:tcPr>
            <w:tcW w:w="6803" w:type="dxa"/>
            <w:hideMark/>
          </w:tcPr>
          <w:p w:rsidR="00975DF5" w:rsidRPr="00D60728" w:rsidRDefault="00975DF5" w:rsidP="00BF7DCC">
            <w:pPr>
              <w:spacing w:line="240" w:lineRule="auto"/>
              <w:rPr>
                <w:rFonts w:ascii="Times New Roman" w:hAnsi="Times New Roman"/>
                <w:sz w:val="20"/>
                <w:szCs w:val="20"/>
              </w:rPr>
            </w:pPr>
            <w:r w:rsidRPr="00562A60">
              <w:rPr>
                <w:rFonts w:ascii="Times New Roman" w:hAnsi="Times New Roman"/>
                <w:sz w:val="20"/>
                <w:szCs w:val="20"/>
                <w:highlight w:val="yellow"/>
              </w:rPr>
              <w:t>Poticanje osnivanja regionalnih energetskih i klimatskih agencija i izgradnja kapaciteta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Promicanje korištenja inovativnih informacijskih i komunikacijskih tehnologija (IKT) radi smanjenja emisija stakleničkih plinova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Europski sustav trgovanja emisijskim jedinicama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MCC-5</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MS-5</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Porez na emisiju CO</w:t>
            </w:r>
            <w:r w:rsidRPr="00D60728">
              <w:rPr>
                <w:rFonts w:ascii="Times New Roman" w:hAnsi="Times New Roman"/>
                <w:sz w:val="20"/>
                <w:szCs w:val="20"/>
                <w:vertAlign w:val="subscript"/>
              </w:rPr>
              <w:t>2</w:t>
            </w:r>
            <w:r w:rsidRPr="00D60728">
              <w:rPr>
                <w:rFonts w:ascii="Times New Roman" w:hAnsi="Times New Roman"/>
                <w:sz w:val="20"/>
                <w:szCs w:val="20"/>
              </w:rPr>
              <w:t xml:space="preserve"> za stacionarne izvore koji nisu u EU ETS-u</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MCC-6</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MS-6</w:t>
            </w:r>
          </w:p>
        </w:tc>
        <w:tc>
          <w:tcPr>
            <w:tcW w:w="6803" w:type="dxa"/>
            <w:hideMark/>
          </w:tcPr>
          <w:p w:rsidR="00975DF5" w:rsidRPr="00562A60" w:rsidRDefault="00975DF5" w:rsidP="00BF7DCC">
            <w:pPr>
              <w:spacing w:line="240" w:lineRule="auto"/>
              <w:rPr>
                <w:rFonts w:ascii="Times New Roman" w:hAnsi="Times New Roman"/>
                <w:sz w:val="20"/>
                <w:szCs w:val="20"/>
                <w:highlight w:val="yellow"/>
              </w:rPr>
            </w:pPr>
            <w:r w:rsidRPr="00562A60">
              <w:rPr>
                <w:rFonts w:ascii="Times New Roman" w:hAnsi="Times New Roman"/>
                <w:sz w:val="20"/>
                <w:szCs w:val="20"/>
                <w:highlight w:val="yellow"/>
              </w:rPr>
              <w:t>Sporazum gradonačelnika za klimu i energiju u Republici Hrvatskoj</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MCC-7</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MS-7</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Povelja o suradnji u cilju dekarbonizacije zgrada do 2050.</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MCC-8</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MS-8</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Uspostava platforme za prikupljanje, uporabu i skladištenje CO</w:t>
            </w:r>
            <w:r w:rsidRPr="00D60728">
              <w:rPr>
                <w:rFonts w:ascii="Times New Roman" w:hAnsi="Times New Roman"/>
                <w:sz w:val="20"/>
                <w:szCs w:val="20"/>
                <w:vertAlign w:val="subscript"/>
              </w:rPr>
              <w:t>2</w:t>
            </w:r>
            <w:r w:rsidRPr="00D60728">
              <w:rPr>
                <w:rFonts w:ascii="Times New Roman" w:hAnsi="Times New Roman"/>
                <w:sz w:val="20"/>
                <w:szCs w:val="20"/>
              </w:rPr>
              <w:t xml:space="preserve"> </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MCC-9</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MS-9</w:t>
            </w:r>
          </w:p>
        </w:tc>
        <w:tc>
          <w:tcPr>
            <w:tcW w:w="6803" w:type="dxa"/>
            <w:hideMark/>
          </w:tcPr>
          <w:p w:rsidR="00975DF5" w:rsidRPr="00D60728" w:rsidRDefault="00975DF5" w:rsidP="00BF7DCC">
            <w:pPr>
              <w:spacing w:line="240" w:lineRule="auto"/>
              <w:rPr>
                <w:rFonts w:ascii="Times New Roman" w:hAnsi="Times New Roman"/>
                <w:sz w:val="20"/>
                <w:szCs w:val="20"/>
              </w:rPr>
            </w:pPr>
            <w:r w:rsidRPr="00562A60">
              <w:rPr>
                <w:rFonts w:ascii="Times New Roman" w:hAnsi="Times New Roman"/>
                <w:sz w:val="20"/>
                <w:szCs w:val="20"/>
                <w:highlight w:val="yellow"/>
              </w:rPr>
              <w:t>Unaprjeđenje održivosti urbanih sredina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MCC-10</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MS-10</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Uspostava Programa za izračun i smanjenje ugljikova otiska poslovnih subjekata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MCC-11</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MS-11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Uspostava platforme za kružno gospodarstvo</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MS-12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Uspostava platforme za biogospodarstvo</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MS-13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Uspostava platforme za tehnologiju vodika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Sustav obveze energetske učinkovitosti za opskrbljivače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MCC-15</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ENU-14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Integrirani informacijski sustav za praćenje energetske učinkovitosti</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MCC-16</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ENU-9</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Zelena javna nabava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MCC-17</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IIK-1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Utvrđivanje polazišta, nacionalnih ciljeva, indikatora za praćenje ostvarenja te uspostava sustava za praćenje ostvarenja zadanih ciljeva istraživanja, inovacija i konkurentnosti</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MCC-18</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IIK-2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Sufinanciranje projekata industrijskog istraživanja i eksperimentalnog razvoja usklađenih s Nacionalnom razvojnom strategijom</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MCC-19</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IIK-3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Poticanje razvoja poduzetništva na području niskougljičnog gospodarstva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lastRenderedPageBreak/>
              <w:t>MCC-20</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IIK-4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 xml:space="preserve">Poticanje transfera znanja i tehnologija iz sustava znanosti u sustav gospodarstva s naglaskom na niskougljične tehnologije </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MCC-21</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IIK-5</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Poticanje daljnjeg rada znanstvenih centara izvrsnosti osnovanih u području prirodnih, tehničkih, biotehničkih i biomedicinskih znanosti</w:t>
            </w:r>
          </w:p>
        </w:tc>
      </w:tr>
      <w:tr w:rsidR="00975DF5" w:rsidRPr="00D60728" w:rsidTr="00E06FEE">
        <w:trPr>
          <w:trHeight w:val="397"/>
        </w:trPr>
        <w:tc>
          <w:tcPr>
            <w:tcW w:w="1134"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MCC-22</w:t>
            </w:r>
          </w:p>
        </w:tc>
        <w:tc>
          <w:tcPr>
            <w:tcW w:w="1134" w:type="dxa"/>
            <w:tcBorders>
              <w:bottom w:val="single" w:sz="4" w:space="0" w:color="auto"/>
            </w:tcBorders>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IIK-6</w:t>
            </w:r>
          </w:p>
        </w:tc>
        <w:tc>
          <w:tcPr>
            <w:tcW w:w="6803"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Izgradnja kapaciteta za poticanje istraživanja i inovacija te povećanje konkurentnosti u području niskougljičnog gospodarstva</w:t>
            </w:r>
          </w:p>
        </w:tc>
      </w:tr>
      <w:tr w:rsidR="00975DF5" w:rsidRPr="00D60728" w:rsidTr="00E06FEE">
        <w:trPr>
          <w:trHeight w:val="397"/>
        </w:trPr>
        <w:tc>
          <w:tcPr>
            <w:tcW w:w="9071" w:type="dxa"/>
            <w:gridSpan w:val="3"/>
            <w:shd w:val="clear" w:color="auto" w:fill="D9D9D9" w:themeFill="background1" w:themeFillShade="D9"/>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b/>
                <w:bCs/>
                <w:sz w:val="20"/>
                <w:szCs w:val="20"/>
              </w:rPr>
              <w:t>ENERGETIKA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w:t>
            </w:r>
          </w:p>
        </w:tc>
        <w:tc>
          <w:tcPr>
            <w:tcW w:w="1134" w:type="dxa"/>
          </w:tcPr>
          <w:p w:rsidR="00975DF5" w:rsidRPr="00D60728" w:rsidRDefault="00975DF5" w:rsidP="00BF7DCC">
            <w:pPr>
              <w:spacing w:line="240" w:lineRule="auto"/>
              <w:jc w:val="left"/>
              <w:rPr>
                <w:rFonts w:ascii="Times New Roman" w:hAnsi="Times New Roman"/>
                <w:sz w:val="20"/>
                <w:szCs w:val="20"/>
              </w:rPr>
            </w:pPr>
            <w:r w:rsidRPr="00D60728">
              <w:rPr>
                <w:rFonts w:ascii="Times New Roman" w:hAnsi="Times New Roman"/>
                <w:sz w:val="20"/>
                <w:szCs w:val="20"/>
              </w:rPr>
              <w:t>ENU-2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Promoviranje nZEB standarda gradnje i obnove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Program energetske obnove višestambenih zgrada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Program energetske obnove obiteljskih kuća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ENU-5</w:t>
            </w:r>
          </w:p>
        </w:tc>
        <w:tc>
          <w:tcPr>
            <w:tcW w:w="6803" w:type="dxa"/>
            <w:hideMark/>
          </w:tcPr>
          <w:p w:rsidR="00975DF5" w:rsidRPr="00D60728" w:rsidRDefault="00975DF5" w:rsidP="00BF7DCC">
            <w:pPr>
              <w:spacing w:line="240" w:lineRule="auto"/>
              <w:rPr>
                <w:rFonts w:ascii="Times New Roman" w:hAnsi="Times New Roman"/>
                <w:sz w:val="20"/>
                <w:szCs w:val="20"/>
              </w:rPr>
            </w:pPr>
            <w:r w:rsidRPr="00562A60">
              <w:rPr>
                <w:rFonts w:ascii="Times New Roman" w:hAnsi="Times New Roman"/>
                <w:sz w:val="20"/>
                <w:szCs w:val="20"/>
                <w:highlight w:val="yellow"/>
              </w:rPr>
              <w:t>Program energetske obnove zgrada javnog sektora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MEN-5</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ENU-6</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Program energetske obnove zgrada koje imaju status kulturnog dobra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MEN-6</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ENU-8</w:t>
            </w:r>
          </w:p>
        </w:tc>
        <w:tc>
          <w:tcPr>
            <w:tcW w:w="6803" w:type="dxa"/>
            <w:hideMark/>
          </w:tcPr>
          <w:p w:rsidR="00975DF5" w:rsidRPr="00D60728" w:rsidRDefault="00975DF5" w:rsidP="00BF7DCC">
            <w:pPr>
              <w:spacing w:line="240" w:lineRule="auto"/>
              <w:rPr>
                <w:rFonts w:ascii="Times New Roman" w:hAnsi="Times New Roman"/>
                <w:sz w:val="20"/>
                <w:szCs w:val="20"/>
              </w:rPr>
            </w:pPr>
            <w:r w:rsidRPr="00562A60">
              <w:rPr>
                <w:rFonts w:ascii="Times New Roman" w:hAnsi="Times New Roman"/>
                <w:sz w:val="20"/>
                <w:szCs w:val="20"/>
                <w:highlight w:val="yellow"/>
              </w:rPr>
              <w:t>Program energetske obnove javne rasvjete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MEN-7</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ENU-7</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Sustavno gospodarenje energijom u javnom sektoru</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MEN-8</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ENU-10</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Sustavno gospodarenje energijom u poslovnom (uslužnom i proizvodnom) sektoru</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MEN-9</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ENU-11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Informativni računi</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MEN-10</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ENU-12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Informiranje o energetskoj učinkovitosti</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MEN-11</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ENU-13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Obrazovanje u području energetske učinkovitosti</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ENU-15</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Energetska učinkovitost elektroenergetskog prijenosnog sustava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ENU-16</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Smanjenje gubitaka u distribucijskoj elektroenergetskoj mreži i uvođenje naprednih mreža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ENU-17</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Povećanje učinkovitosti sustava toplinarstva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MEN-15</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ENU-18</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Povećanje učinkovitosti plinskog sustava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MEN-16</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OIE-1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Informiranje, edukacija i povećanje kapaciteta za korištenje OIE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MEN-17</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OIE-2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Prostorno-planski preduvjeti za korištenje OIE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MEN-18</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OIE-3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Poticanje korištenja OIE za proizvodnju električne i toplinske energije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MEN-19</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OIE-4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Razrada regulatornog okvira za korištenje OIE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MEN-20</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ES-1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Integrirano planiranje sigurnosti opskrbe energijom i energentima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MEN-21</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ES-2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Izgradnja i korištenje spremnika energije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MEN-22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ES-4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Razvoj i održavanje sustava centralne proizvodnje toplinske energije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MEN-23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ES-5</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Izgradnja terminala za UPP</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MEN-24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FUG-1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Modernizacija rafinerija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MEN-25</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FUG-2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Mjere povećanja energetske učinkovitosti unapređenjem procesa i procesnih jedinica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MEN-26</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FUG-3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Spaljivanje metana na baklji</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MEN-27</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UET-1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Razvoj prijenosne elektroenergetske mreže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MEN-28</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UET-2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Razvoj plinskog transportnog sustava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lastRenderedPageBreak/>
              <w:t>MEN-29</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UET-3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Razrada regulatornog okvira za aktivno sudjelovanje korisnika mreže na tržištu električne energije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MEN-30</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UET-4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Uvođenje naprednih sustava mjerenja potrošnje i upravljanja mjernim podacima</w:t>
            </w:r>
          </w:p>
        </w:tc>
      </w:tr>
      <w:tr w:rsidR="00975DF5" w:rsidRPr="00D60728" w:rsidTr="00E06FEE">
        <w:trPr>
          <w:trHeight w:val="397"/>
        </w:trPr>
        <w:tc>
          <w:tcPr>
            <w:tcW w:w="1134"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MEN-31</w:t>
            </w:r>
          </w:p>
        </w:tc>
        <w:tc>
          <w:tcPr>
            <w:tcW w:w="1134" w:type="dxa"/>
            <w:tcBorders>
              <w:bottom w:val="single" w:sz="4" w:space="0" w:color="auto"/>
            </w:tcBorders>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UET-5</w:t>
            </w:r>
          </w:p>
        </w:tc>
        <w:tc>
          <w:tcPr>
            <w:tcW w:w="6803"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Usvajanje i provedba Programa suzbijanja energetskog siromaštva</w:t>
            </w:r>
          </w:p>
        </w:tc>
      </w:tr>
      <w:tr w:rsidR="00975DF5" w:rsidRPr="00D60728" w:rsidTr="00E06FEE">
        <w:trPr>
          <w:trHeight w:val="397"/>
        </w:trPr>
        <w:tc>
          <w:tcPr>
            <w:tcW w:w="9071" w:type="dxa"/>
            <w:gridSpan w:val="3"/>
            <w:shd w:val="clear" w:color="auto" w:fill="D9D9D9" w:themeFill="background1" w:themeFillShade="D9"/>
            <w:noWrap/>
          </w:tcPr>
          <w:p w:rsidR="00975DF5" w:rsidRPr="00D60728" w:rsidRDefault="00975DF5" w:rsidP="00BF7DCC">
            <w:pPr>
              <w:spacing w:line="240" w:lineRule="auto"/>
              <w:rPr>
                <w:rFonts w:ascii="Times New Roman" w:hAnsi="Times New Roman"/>
                <w:b/>
                <w:bCs/>
                <w:sz w:val="20"/>
                <w:szCs w:val="20"/>
              </w:rPr>
            </w:pPr>
            <w:r w:rsidRPr="00D60728">
              <w:rPr>
                <w:rFonts w:ascii="Times New Roman" w:hAnsi="Times New Roman"/>
                <w:b/>
                <w:bCs/>
                <w:sz w:val="20"/>
                <w:szCs w:val="20"/>
              </w:rPr>
              <w:t>PROMET</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MTR-1</w:t>
            </w:r>
          </w:p>
        </w:tc>
        <w:tc>
          <w:tcPr>
            <w:tcW w:w="1134" w:type="dxa"/>
          </w:tcPr>
          <w:p w:rsidR="00975DF5" w:rsidRPr="00D60728" w:rsidRDefault="00975DF5" w:rsidP="00BF7DCC">
            <w:pPr>
              <w:spacing w:line="240" w:lineRule="auto"/>
              <w:jc w:val="left"/>
              <w:rPr>
                <w:rFonts w:ascii="Times New Roman" w:hAnsi="Times New Roman"/>
                <w:sz w:val="20"/>
                <w:szCs w:val="20"/>
              </w:rPr>
            </w:pPr>
            <w:r w:rsidRPr="00D60728">
              <w:rPr>
                <w:rFonts w:ascii="Times New Roman" w:hAnsi="Times New Roman"/>
                <w:sz w:val="20"/>
                <w:szCs w:val="20"/>
              </w:rPr>
              <w:t>TR-1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Informiranje potrošača o ekonomičnosti potrošnje goriva i emisiji CO</w:t>
            </w:r>
            <w:r w:rsidRPr="00D60728">
              <w:rPr>
                <w:rFonts w:ascii="Times New Roman" w:hAnsi="Times New Roman"/>
                <w:sz w:val="20"/>
                <w:szCs w:val="20"/>
                <w:vertAlign w:val="subscript"/>
              </w:rPr>
              <w:t>2</w:t>
            </w:r>
            <w:r w:rsidRPr="00D60728">
              <w:rPr>
                <w:rFonts w:ascii="Times New Roman" w:hAnsi="Times New Roman"/>
                <w:sz w:val="20"/>
                <w:szCs w:val="20"/>
              </w:rPr>
              <w:t xml:space="preserve"> novih osobnih automobila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Posebna naknada za okoliš za vozila na motorni pogon</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Posebni porez za motorna vozila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Praćenje, izvještavanje i verifikacija emisija stakleničkih plinova u životnom vijeku goriva i energije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MTR-5</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TR-5</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Zakonodavne prilagodbe za čišći promet</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MTR-6</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TR-6</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Financijski poticaji za energetski učinkovita vozila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MTR-7</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TR-7</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 xml:space="preserve">Razvoj infrastrukture za alternativna goriva </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MTR-8</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TR-8</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Poticanje integriranog teretnog prometa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MTR-9</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TR-9</w:t>
            </w:r>
          </w:p>
        </w:tc>
        <w:tc>
          <w:tcPr>
            <w:tcW w:w="6803" w:type="dxa"/>
            <w:hideMark/>
          </w:tcPr>
          <w:p w:rsidR="00975DF5" w:rsidRPr="00D60728" w:rsidRDefault="00975DF5" w:rsidP="00BF7DCC">
            <w:pPr>
              <w:spacing w:line="240" w:lineRule="auto"/>
              <w:rPr>
                <w:rFonts w:ascii="Times New Roman" w:hAnsi="Times New Roman"/>
                <w:sz w:val="20"/>
                <w:szCs w:val="20"/>
              </w:rPr>
            </w:pPr>
            <w:r w:rsidRPr="00562A60">
              <w:rPr>
                <w:rFonts w:ascii="Times New Roman" w:hAnsi="Times New Roman"/>
                <w:sz w:val="20"/>
                <w:szCs w:val="20"/>
                <w:highlight w:val="yellow"/>
              </w:rPr>
              <w:t>Poticanje razvoja održivog integriranog prometa na nacionalnoj razini</w:t>
            </w:r>
            <w:r w:rsidRPr="00D60728">
              <w:rPr>
                <w:rFonts w:ascii="Times New Roman" w:hAnsi="Times New Roman"/>
                <w:sz w:val="20"/>
                <w:szCs w:val="20"/>
              </w:rPr>
              <w:t xml:space="preserve"> </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MTR-10</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TR-10</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Promicanje integriranog i inteligentnog prometa i razvoj infrastrukture za alternativna goriva na lokalnoj i područnoj razini</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MTR-11</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TR-11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Obuka vozača cestovnih vozila za eko vožnju</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MTR-12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TR-12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Poticanje brodskog prometa na alternativna goriva</w:t>
            </w:r>
          </w:p>
        </w:tc>
      </w:tr>
      <w:tr w:rsidR="00975DF5" w:rsidRPr="00D60728" w:rsidTr="00E06FEE">
        <w:trPr>
          <w:trHeight w:val="397"/>
        </w:trPr>
        <w:tc>
          <w:tcPr>
            <w:tcW w:w="1134"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MTR-13</w:t>
            </w:r>
          </w:p>
        </w:tc>
        <w:tc>
          <w:tcPr>
            <w:tcW w:w="1134" w:type="dxa"/>
            <w:tcBorders>
              <w:bottom w:val="single" w:sz="4" w:space="0" w:color="auto"/>
            </w:tcBorders>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TR-13</w:t>
            </w:r>
          </w:p>
        </w:tc>
        <w:tc>
          <w:tcPr>
            <w:tcW w:w="6803"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Plan razvoja tržišta naprednih biogoriva</w:t>
            </w:r>
          </w:p>
        </w:tc>
      </w:tr>
      <w:tr w:rsidR="00975DF5" w:rsidRPr="00D60728" w:rsidTr="00E06FEE">
        <w:trPr>
          <w:trHeight w:val="397"/>
        </w:trPr>
        <w:tc>
          <w:tcPr>
            <w:tcW w:w="9071" w:type="dxa"/>
            <w:gridSpan w:val="3"/>
            <w:shd w:val="clear" w:color="auto" w:fill="D9D9D9" w:themeFill="background1" w:themeFillShade="D9"/>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b/>
                <w:bCs/>
                <w:sz w:val="20"/>
                <w:szCs w:val="20"/>
              </w:rPr>
              <w:t>INDUSTRIJSKI PROCESI I UPORABA PROIZVODA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MIP-1</w:t>
            </w:r>
          </w:p>
        </w:tc>
        <w:tc>
          <w:tcPr>
            <w:tcW w:w="1134" w:type="dxa"/>
          </w:tcPr>
          <w:p w:rsidR="00975DF5" w:rsidRPr="00D60728" w:rsidRDefault="00975DF5" w:rsidP="00BF7DCC">
            <w:pPr>
              <w:spacing w:line="240" w:lineRule="auto"/>
              <w:jc w:val="left"/>
              <w:rPr>
                <w:rFonts w:ascii="Times New Roman" w:hAnsi="Times New Roman"/>
                <w:sz w:val="20"/>
                <w:szCs w:val="20"/>
              </w:rPr>
            </w:pPr>
            <w:r w:rsidRPr="00D60728">
              <w:rPr>
                <w:rFonts w:ascii="Times New Roman" w:hAnsi="Times New Roman"/>
                <w:sz w:val="20"/>
                <w:szCs w:val="20"/>
              </w:rPr>
              <w:t>IP-1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Smanjenje udjela klinkera u proizvodnji cementa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MIP-2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IP-2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 xml:space="preserve">Ograničavanje emisija fluoriranih stakleničkih plinova </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MIP-3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IP-3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Postupno smanjenje količine fluorougljikovodika koja se može stavljati na tržište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MIP-4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IP-4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Ograničenja i zabrana stavljanja na tržište određenih proizvoda i opreme</w:t>
            </w:r>
          </w:p>
        </w:tc>
      </w:tr>
      <w:tr w:rsidR="00975DF5" w:rsidRPr="00D60728" w:rsidTr="00E06FEE">
        <w:trPr>
          <w:trHeight w:val="397"/>
        </w:trPr>
        <w:tc>
          <w:tcPr>
            <w:tcW w:w="1134"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MIP-5</w:t>
            </w:r>
          </w:p>
        </w:tc>
        <w:tc>
          <w:tcPr>
            <w:tcW w:w="1134" w:type="dxa"/>
            <w:tcBorders>
              <w:bottom w:val="single" w:sz="4" w:space="0" w:color="auto"/>
            </w:tcBorders>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IP-5</w:t>
            </w:r>
          </w:p>
        </w:tc>
        <w:tc>
          <w:tcPr>
            <w:tcW w:w="6803"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Smanjenje emisija fluoriranih stakleničkih plinova iz mobilnih sustava za klimatiziranje</w:t>
            </w:r>
          </w:p>
        </w:tc>
      </w:tr>
      <w:tr w:rsidR="00975DF5" w:rsidRPr="00D60728" w:rsidTr="00E06FEE">
        <w:trPr>
          <w:trHeight w:val="397"/>
        </w:trPr>
        <w:tc>
          <w:tcPr>
            <w:tcW w:w="9071" w:type="dxa"/>
            <w:gridSpan w:val="3"/>
            <w:shd w:val="clear" w:color="auto" w:fill="D9D9D9" w:themeFill="background1" w:themeFillShade="D9"/>
            <w:noWrap/>
          </w:tcPr>
          <w:p w:rsidR="00975DF5" w:rsidRPr="00D60728" w:rsidRDefault="00975DF5" w:rsidP="00BF7DCC">
            <w:pPr>
              <w:spacing w:line="240" w:lineRule="auto"/>
              <w:rPr>
                <w:rFonts w:ascii="Times New Roman" w:hAnsi="Times New Roman"/>
                <w:b/>
                <w:bCs/>
                <w:sz w:val="20"/>
                <w:szCs w:val="20"/>
              </w:rPr>
            </w:pPr>
            <w:r w:rsidRPr="00D60728">
              <w:rPr>
                <w:rFonts w:ascii="Times New Roman" w:hAnsi="Times New Roman"/>
                <w:b/>
                <w:bCs/>
                <w:sz w:val="20"/>
                <w:szCs w:val="20"/>
              </w:rPr>
              <w:t>POLJOPRIVREDA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MAG-1</w:t>
            </w:r>
          </w:p>
        </w:tc>
        <w:tc>
          <w:tcPr>
            <w:tcW w:w="1134" w:type="dxa"/>
          </w:tcPr>
          <w:p w:rsidR="00975DF5" w:rsidRPr="00D60728" w:rsidRDefault="00975DF5" w:rsidP="00BF7DCC">
            <w:pPr>
              <w:spacing w:line="240" w:lineRule="auto"/>
              <w:jc w:val="left"/>
              <w:rPr>
                <w:rFonts w:ascii="Times New Roman" w:hAnsi="Times New Roman"/>
                <w:sz w:val="20"/>
                <w:szCs w:val="20"/>
              </w:rPr>
            </w:pPr>
            <w:r w:rsidRPr="00D60728">
              <w:rPr>
                <w:rFonts w:ascii="Times New Roman" w:hAnsi="Times New Roman"/>
                <w:sz w:val="20"/>
                <w:szCs w:val="20"/>
              </w:rPr>
              <w:t>POLJ-1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Promjena u prehrani goveda i svinja te kvalitete stočne hrane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Poboljšanje stočarskih gospodarstava i sustava gospodarenja stajskim gnojem</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 xml:space="preserve">Izmjena sustava uzgoja stoke </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Anaerobna razgradnja stajskog gnoja i proizvodnja bioplina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MAG-5</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POLJ-5</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Poboljšanje uzgojno-selekcijskog programa, zdravlja i dobrobiti životinja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MAG-6</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POLJ-6</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Unaprjeđivanje i promjena sustava obrade tla (reducirana obrada)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MAG-7</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POLJ-7</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Proširenje plodoreda s većim učešćem leguminoza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MAG-8</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POLJ-8</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Intenziviranje plodoreda korištenjem međuusjeva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lastRenderedPageBreak/>
              <w:t>MAG-9</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POLJ-9</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Poboljšanje metoda primjene mineralnih gnojiva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MAG-10</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POLJ-10</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 xml:space="preserve">Poboljšanje metoda primjene organskih gnojiva </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MAG-11</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POLJ-11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Agrošumarstvo</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MAG-12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POLJ-12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Hidromelioracijski zahvati i sustavi zaštite od nepogoda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MAG-13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POLJ-13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 xml:space="preserve">Uvođenje novih kultivara, sorti i kultura </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MAG-14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POLJ-14</w:t>
            </w:r>
          </w:p>
        </w:tc>
        <w:tc>
          <w:tcPr>
            <w:tcW w:w="6803" w:type="dxa"/>
            <w:hideMark/>
          </w:tcPr>
          <w:p w:rsidR="00975DF5" w:rsidRPr="00D60728" w:rsidRDefault="00975DF5" w:rsidP="00BF7DCC">
            <w:pPr>
              <w:spacing w:line="240" w:lineRule="auto"/>
              <w:rPr>
                <w:rFonts w:ascii="Times New Roman" w:hAnsi="Times New Roman"/>
                <w:sz w:val="20"/>
                <w:szCs w:val="20"/>
              </w:rPr>
            </w:pPr>
            <w:r w:rsidRPr="00562A60">
              <w:rPr>
                <w:rFonts w:ascii="Times New Roman" w:hAnsi="Times New Roman"/>
                <w:sz w:val="20"/>
                <w:szCs w:val="20"/>
                <w:highlight w:val="yellow"/>
              </w:rPr>
              <w:t>Promjena načina prehrane ljudi</w:t>
            </w:r>
            <w:r w:rsidRPr="00D60728">
              <w:rPr>
                <w:rFonts w:ascii="Times New Roman" w:hAnsi="Times New Roman"/>
                <w:sz w:val="20"/>
                <w:szCs w:val="20"/>
              </w:rPr>
              <w:t xml:space="preserve"> </w:t>
            </w:r>
          </w:p>
        </w:tc>
      </w:tr>
      <w:tr w:rsidR="00975DF5" w:rsidRPr="00D60728" w:rsidTr="00E06FEE">
        <w:trPr>
          <w:trHeight w:val="397"/>
        </w:trPr>
        <w:tc>
          <w:tcPr>
            <w:tcW w:w="1134"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MAG-15</w:t>
            </w:r>
          </w:p>
        </w:tc>
        <w:tc>
          <w:tcPr>
            <w:tcW w:w="1134" w:type="dxa"/>
            <w:tcBorders>
              <w:bottom w:val="single" w:sz="4" w:space="0" w:color="auto"/>
            </w:tcBorders>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POLJ-15</w:t>
            </w:r>
          </w:p>
        </w:tc>
        <w:tc>
          <w:tcPr>
            <w:tcW w:w="6803"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Sakupljanje i obrada poljoprivrednih nasada i ostataka za korištenje u energetske svrhe</w:t>
            </w:r>
          </w:p>
        </w:tc>
      </w:tr>
      <w:tr w:rsidR="00975DF5" w:rsidRPr="00D60728" w:rsidTr="00E06FEE">
        <w:trPr>
          <w:trHeight w:val="397"/>
        </w:trPr>
        <w:tc>
          <w:tcPr>
            <w:tcW w:w="9071" w:type="dxa"/>
            <w:gridSpan w:val="3"/>
            <w:shd w:val="clear" w:color="auto" w:fill="D9D9D9" w:themeFill="background1" w:themeFillShade="D9"/>
            <w:noWrap/>
          </w:tcPr>
          <w:p w:rsidR="00975DF5" w:rsidRPr="00D60728" w:rsidRDefault="00975DF5" w:rsidP="00BF7DCC">
            <w:pPr>
              <w:spacing w:line="240" w:lineRule="auto"/>
              <w:rPr>
                <w:rFonts w:ascii="Times New Roman" w:hAnsi="Times New Roman"/>
                <w:b/>
                <w:bCs/>
                <w:sz w:val="20"/>
                <w:szCs w:val="20"/>
              </w:rPr>
            </w:pPr>
            <w:r w:rsidRPr="00D60728">
              <w:rPr>
                <w:rFonts w:ascii="Times New Roman" w:hAnsi="Times New Roman"/>
                <w:b/>
                <w:bCs/>
                <w:sz w:val="20"/>
                <w:szCs w:val="20"/>
              </w:rPr>
              <w:t>GOSPODARENJE OTPADOM</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MWM-1</w:t>
            </w:r>
          </w:p>
        </w:tc>
        <w:tc>
          <w:tcPr>
            <w:tcW w:w="1134" w:type="dxa"/>
          </w:tcPr>
          <w:p w:rsidR="00975DF5" w:rsidRPr="00D60728" w:rsidRDefault="00975DF5" w:rsidP="00BF7DCC">
            <w:pPr>
              <w:spacing w:line="240" w:lineRule="auto"/>
              <w:jc w:val="left"/>
              <w:rPr>
                <w:rFonts w:ascii="Times New Roman" w:hAnsi="Times New Roman"/>
                <w:sz w:val="20"/>
                <w:szCs w:val="20"/>
              </w:rPr>
            </w:pPr>
            <w:r w:rsidRPr="00D60728">
              <w:rPr>
                <w:rFonts w:ascii="Times New Roman" w:hAnsi="Times New Roman"/>
                <w:sz w:val="20"/>
                <w:szCs w:val="20"/>
              </w:rPr>
              <w:t>GO-1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Sprječavanje nastajanja i smanjivanje količine krutog otpada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MWM-2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GO-2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Povećanje količine odvojeno skupljenog i recikliranog krutog otpada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MWM-3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GO-3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Osiguravanje sustava obrade i korištenja odlagališnog plina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MWM-4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GO-4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Smanjenje količine odloženog biorazgradivog otpada</w:t>
            </w:r>
          </w:p>
        </w:tc>
      </w:tr>
      <w:tr w:rsidR="00975DF5" w:rsidRPr="00D60728" w:rsidTr="00E06FEE">
        <w:trPr>
          <w:trHeight w:val="397"/>
        </w:trPr>
        <w:tc>
          <w:tcPr>
            <w:tcW w:w="1134"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MWM-5</w:t>
            </w:r>
          </w:p>
        </w:tc>
        <w:tc>
          <w:tcPr>
            <w:tcW w:w="1134" w:type="dxa"/>
            <w:tcBorders>
              <w:bottom w:val="single" w:sz="4" w:space="0" w:color="auto"/>
            </w:tcBorders>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GO-5</w:t>
            </w:r>
          </w:p>
        </w:tc>
        <w:tc>
          <w:tcPr>
            <w:tcW w:w="6803"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Korištenje bioplina za proizvodnju biometana, električne energije i topline</w:t>
            </w:r>
          </w:p>
        </w:tc>
      </w:tr>
      <w:tr w:rsidR="00975DF5" w:rsidRPr="00D60728" w:rsidTr="00E06FEE">
        <w:trPr>
          <w:trHeight w:val="397"/>
        </w:trPr>
        <w:tc>
          <w:tcPr>
            <w:tcW w:w="9071" w:type="dxa"/>
            <w:gridSpan w:val="3"/>
            <w:shd w:val="clear" w:color="auto" w:fill="D9D9D9" w:themeFill="background1" w:themeFillShade="D9"/>
            <w:noWrap/>
          </w:tcPr>
          <w:p w:rsidR="00975DF5" w:rsidRPr="00D60728" w:rsidRDefault="00975DF5" w:rsidP="00BF7DCC">
            <w:pPr>
              <w:spacing w:line="240" w:lineRule="auto"/>
              <w:rPr>
                <w:rFonts w:ascii="Times New Roman" w:hAnsi="Times New Roman"/>
                <w:b/>
                <w:bCs/>
                <w:sz w:val="20"/>
                <w:szCs w:val="20"/>
              </w:rPr>
            </w:pPr>
            <w:r w:rsidRPr="00D60728">
              <w:rPr>
                <w:rFonts w:ascii="Times New Roman" w:hAnsi="Times New Roman"/>
                <w:b/>
                <w:bCs/>
                <w:sz w:val="20"/>
                <w:szCs w:val="20"/>
              </w:rPr>
              <w:t xml:space="preserve">KORIŠTENJE ZEMLJIŠTA, PRENAMJENA ZEMLJIŠTA I ŠUMARSTVO (LULUCF) </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MLF-1</w:t>
            </w:r>
          </w:p>
        </w:tc>
        <w:tc>
          <w:tcPr>
            <w:tcW w:w="1134" w:type="dxa"/>
          </w:tcPr>
          <w:p w:rsidR="00975DF5" w:rsidRPr="00D60728" w:rsidRDefault="00975DF5" w:rsidP="00BF7DCC">
            <w:pPr>
              <w:spacing w:line="240" w:lineRule="auto"/>
              <w:jc w:val="left"/>
              <w:rPr>
                <w:rFonts w:ascii="Times New Roman" w:hAnsi="Times New Roman"/>
                <w:sz w:val="20"/>
                <w:szCs w:val="20"/>
              </w:rPr>
            </w:pPr>
            <w:r w:rsidRPr="00D60728">
              <w:rPr>
                <w:rFonts w:ascii="Times New Roman" w:hAnsi="Times New Roman"/>
                <w:sz w:val="20"/>
                <w:szCs w:val="20"/>
              </w:rPr>
              <w:t>LUF-1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Izrada Strategije upravljanja zemljištem Republike Hrvatske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MLF-2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LUF-2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Akumulacija ugljika na površinama postojećih šuma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MLF-3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LUF-3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Provedba radova pošumljavanja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MLF-4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LUF-4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 xml:space="preserve">Proizvodnja i uporaba drva i drvnih proizvoda </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MLF-5</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LUF-5</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Gospodarenje poljoprivrednim zemljištem</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MLF-6</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LUF-6</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Gospodarenje pašnjacima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MLF-7</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LUF-7</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 xml:space="preserve">Provedba tehničkih projekata i znanstvenih istraživanja u LULUCF sektoru </w:t>
            </w:r>
          </w:p>
        </w:tc>
      </w:tr>
    </w:tbl>
    <w:p w:rsidR="00975DF5" w:rsidRPr="00D60728" w:rsidRDefault="00975DF5" w:rsidP="00BF7DCC">
      <w:pPr>
        <w:pStyle w:val="Tablica"/>
        <w:spacing w:after="0" w:line="240" w:lineRule="auto"/>
        <w:jc w:val="left"/>
        <w:rPr>
          <w:rFonts w:ascii="Times New Roman" w:hAnsi="Times New Roman"/>
          <w:i/>
          <w:sz w:val="20"/>
        </w:rPr>
      </w:pPr>
    </w:p>
    <w:p w:rsidR="00795F48" w:rsidRPr="00D60728" w:rsidRDefault="00795F48" w:rsidP="00BF7DCC">
      <w:pPr>
        <w:spacing w:line="240" w:lineRule="auto"/>
        <w:rPr>
          <w:sz w:val="20"/>
          <w:szCs w:val="20"/>
        </w:rPr>
      </w:pPr>
    </w:p>
    <w:p w:rsidR="008013CC" w:rsidRPr="00D60728" w:rsidRDefault="008013CC" w:rsidP="00BF7DCC">
      <w:pPr>
        <w:spacing w:line="240" w:lineRule="auto"/>
        <w:jc w:val="left"/>
        <w:rPr>
          <w:b/>
          <w:sz w:val="20"/>
          <w:szCs w:val="20"/>
        </w:rPr>
      </w:pPr>
      <w:r w:rsidRPr="00D60728">
        <w:rPr>
          <w:sz w:val="20"/>
          <w:szCs w:val="20"/>
        </w:rPr>
        <w:br w:type="page"/>
      </w:r>
    </w:p>
    <w:p w:rsidR="00795F48" w:rsidRPr="00D60728" w:rsidRDefault="00FE5B1F" w:rsidP="00BF7DCC">
      <w:pPr>
        <w:pStyle w:val="Heading3"/>
        <w:spacing w:before="0" w:line="240" w:lineRule="auto"/>
        <w:rPr>
          <w:rFonts w:ascii="Times New Roman" w:hAnsi="Times New Roman" w:cs="Times New Roman"/>
        </w:rPr>
      </w:pPr>
      <w:bookmarkStart w:id="17" w:name="_Toc24621595"/>
      <w:bookmarkStart w:id="18" w:name="_Toc24632358"/>
      <w:bookmarkStart w:id="19" w:name="_Toc24634708"/>
      <w:bookmarkStart w:id="20" w:name="_Toc24702448"/>
      <w:bookmarkStart w:id="21" w:name="_Toc34147569"/>
      <w:r w:rsidRPr="00D60728">
        <w:rPr>
          <w:rFonts w:ascii="Times New Roman" w:hAnsi="Times New Roman" w:cs="Times New Roman"/>
        </w:rPr>
        <w:lastRenderedPageBreak/>
        <w:t>3.3.1.</w:t>
      </w:r>
      <w:r w:rsidRPr="00D60728">
        <w:rPr>
          <w:rFonts w:ascii="Times New Roman" w:hAnsi="Times New Roman" w:cs="Times New Roman"/>
        </w:rPr>
        <w:tab/>
        <w:t>Energetika</w:t>
      </w:r>
      <w:bookmarkEnd w:id="17"/>
      <w:bookmarkEnd w:id="18"/>
      <w:bookmarkEnd w:id="19"/>
      <w:bookmarkEnd w:id="20"/>
      <w:bookmarkEnd w:id="21"/>
    </w:p>
    <w:p w:rsidR="00853EA3" w:rsidRPr="00D60728" w:rsidRDefault="00853EA3" w:rsidP="00BF7DCC">
      <w:pPr>
        <w:spacing w:line="240" w:lineRule="auto"/>
        <w:rPr>
          <w:sz w:val="20"/>
          <w:szCs w:val="20"/>
        </w:rPr>
      </w:pPr>
    </w:p>
    <w:tbl>
      <w:tblPr>
        <w:tblStyle w:val="TableGrid"/>
        <w:tblW w:w="9458" w:type="dxa"/>
        <w:tblLayout w:type="fixed"/>
        <w:tblLook w:val="04A0" w:firstRow="1" w:lastRow="0" w:firstColumn="1" w:lastColumn="0" w:noHBand="0" w:noVBand="1"/>
      </w:tblPr>
      <w:tblGrid>
        <w:gridCol w:w="1129"/>
        <w:gridCol w:w="1701"/>
        <w:gridCol w:w="6628"/>
      </w:tblGrid>
      <w:tr w:rsidR="00853EA3" w:rsidRPr="00707212" w:rsidTr="001D6533">
        <w:trPr>
          <w:trHeight w:val="454"/>
        </w:trPr>
        <w:tc>
          <w:tcPr>
            <w:tcW w:w="2830"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Promoviranje nZEB standarda gradnje i obnove</w:t>
            </w:r>
          </w:p>
        </w:tc>
      </w:tr>
      <w:tr w:rsidR="00853EA3" w:rsidRPr="00D60728" w:rsidTr="001D6533">
        <w:trPr>
          <w:trHeight w:val="454"/>
        </w:trPr>
        <w:tc>
          <w:tcPr>
            <w:tcW w:w="2830"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w:t>
            </w:r>
          </w:p>
        </w:tc>
      </w:tr>
      <w:tr w:rsidR="00853EA3" w:rsidRPr="00D60728" w:rsidTr="001D6533">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701"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mjera</w:t>
            </w:r>
          </w:p>
        </w:tc>
      </w:tr>
      <w:tr w:rsidR="00853EA3" w:rsidRPr="00D60728" w:rsidTr="001D6533">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701"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2019.</w:t>
            </w:r>
          </w:p>
        </w:tc>
      </w:tr>
      <w:tr w:rsidR="00853EA3" w:rsidRPr="00D60728" w:rsidTr="001D6533">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701"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863E13" w:rsidRPr="00D60728">
              <w:rPr>
                <w:rFonts w:ascii="Times New Roman" w:hAnsi="Times New Roman"/>
                <w:i/>
                <w:iCs/>
                <w:sz w:val="20"/>
                <w:szCs w:val="20"/>
              </w:rPr>
              <w:t>24.</w:t>
            </w:r>
          </w:p>
        </w:tc>
      </w:tr>
      <w:tr w:rsidR="003665B3" w:rsidRPr="00D60728" w:rsidTr="001D6533">
        <w:trPr>
          <w:trHeight w:val="2324"/>
        </w:trPr>
        <w:tc>
          <w:tcPr>
            <w:tcW w:w="1129" w:type="dxa"/>
            <w:vMerge/>
            <w:vAlign w:val="center"/>
            <w:hideMark/>
          </w:tcPr>
          <w:p w:rsidR="003665B3" w:rsidRPr="00D60728" w:rsidRDefault="003665B3" w:rsidP="00BF7DCC">
            <w:pPr>
              <w:spacing w:line="240" w:lineRule="auto"/>
              <w:jc w:val="left"/>
              <w:rPr>
                <w:rFonts w:ascii="Times New Roman" w:hAnsi="Times New Roman"/>
                <w:sz w:val="20"/>
                <w:szCs w:val="20"/>
              </w:rPr>
            </w:pPr>
          </w:p>
        </w:tc>
        <w:tc>
          <w:tcPr>
            <w:tcW w:w="1701" w:type="dxa"/>
            <w:vAlign w:val="center"/>
          </w:tcPr>
          <w:p w:rsidR="003665B3" w:rsidRPr="00D60728" w:rsidRDefault="003665B3"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vAlign w:val="center"/>
          </w:tcPr>
          <w:p w:rsidR="003665B3" w:rsidRPr="00D60728" w:rsidRDefault="003665B3" w:rsidP="00BF7DCC">
            <w:pPr>
              <w:spacing w:line="240" w:lineRule="auto"/>
              <w:rPr>
                <w:rFonts w:ascii="Times New Roman" w:hAnsi="Times New Roman"/>
                <w:i/>
                <w:iCs/>
                <w:sz w:val="20"/>
                <w:szCs w:val="20"/>
                <w:highlight w:val="yellow"/>
              </w:rPr>
            </w:pPr>
            <w:r w:rsidRPr="00D60728">
              <w:rPr>
                <w:rFonts w:ascii="Times New Roman" w:hAnsi="Times New Roman"/>
                <w:i/>
                <w:iCs/>
                <w:sz w:val="20"/>
                <w:szCs w:val="20"/>
              </w:rPr>
              <w:t>Nakon 31.12.2018. godine sve javne zgrade u RH u kojima borave ili su u vlasništvu javnih tijela moraju biti izgrađene prema nZEB standardu, a obveza za sve ostale novoizgrađene zgrade nastupa nakon 31.12.2020. godine. Navedene zakonske odredbe osiguravaju da sve novoizgrađene zgrade od 2021. godine pa nadalje budu u nZEB standardu. Ipak, kako bi se osigurala ispravna primjena ovih odredbi, ali i potaknula energetska obnova zgrada do nZEB standarda, u sljedećem se razdoblju planira provoditi niz informativno-edukacijskih aktivnosti za promociju izgradnje i obnove po nZEB standardu.</w:t>
            </w:r>
          </w:p>
        </w:tc>
      </w:tr>
      <w:tr w:rsidR="00853EA3" w:rsidRPr="00D60728" w:rsidTr="001D6533">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701"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Otvoreni dijalog partnera - radionice koje će okupiti dionike tijela državne uprave, lokalne vlasti, građevinskog sektora, energetskog sektora te obrazovnih i drugih javnih institucija, kako bi se zajedničkim dijalogom razvila adekvatna nacionalna definicija zgrade s gotovo nultom potrošnjom energije i putokaz za transformaciju postojećeg fonda zgrada u energetski visokoučinkovit i dekarboniziran fond zgrada do 2050. godine;</w:t>
            </w:r>
          </w:p>
          <w:p w:rsidR="00853EA3" w:rsidRPr="00D60728" w:rsidRDefault="00853EA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Izrada smjernica o nZEB zgradama za investitore i projektante - smjernice će dati stručnu, preglednu i nedvosmislenu informaciju o nZEB zgradama, a ima te dvije ciljne skupine: opću i stručnu javnost;</w:t>
            </w:r>
          </w:p>
          <w:p w:rsidR="00853EA3" w:rsidRPr="00D60728" w:rsidRDefault="00853EA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Medijske kampanje za energetsko certificiranje i promidžbu nZEB standarda – kampanjama će se informirati javnost s ciljem podizanja svijesti o značenju energetskih certifikata te njihovom značaju u energetskoj obnovi i dokazivanju nZEB standarda, o dostupnosti informacija u Informacijskom sustavu energetskih certifikata (IEC), a također će se provesti i ciljana kampanja za informiranje i podizanje svijesti o nZEB standardu novogradnje i energetske obnove zgrada.</w:t>
            </w:r>
          </w:p>
        </w:tc>
      </w:tr>
      <w:tr w:rsidR="003665B3" w:rsidRPr="00D60728" w:rsidTr="001D6533">
        <w:trPr>
          <w:trHeight w:val="624"/>
        </w:trPr>
        <w:tc>
          <w:tcPr>
            <w:tcW w:w="1129" w:type="dxa"/>
            <w:vMerge/>
            <w:vAlign w:val="center"/>
            <w:hideMark/>
          </w:tcPr>
          <w:p w:rsidR="003665B3" w:rsidRPr="00D60728" w:rsidRDefault="003665B3" w:rsidP="00BF7DCC">
            <w:pPr>
              <w:spacing w:line="240" w:lineRule="auto"/>
              <w:jc w:val="left"/>
              <w:rPr>
                <w:rFonts w:ascii="Times New Roman" w:hAnsi="Times New Roman"/>
                <w:sz w:val="20"/>
                <w:szCs w:val="20"/>
              </w:rPr>
            </w:pPr>
          </w:p>
        </w:tc>
        <w:tc>
          <w:tcPr>
            <w:tcW w:w="1701" w:type="dxa"/>
            <w:vAlign w:val="center"/>
            <w:hideMark/>
          </w:tcPr>
          <w:p w:rsidR="003665B3" w:rsidRPr="00D60728" w:rsidRDefault="003665B3"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3665B3" w:rsidRPr="00D60728" w:rsidRDefault="003665B3" w:rsidP="00BF7DCC">
            <w:pPr>
              <w:spacing w:line="240" w:lineRule="auto"/>
              <w:rPr>
                <w:rFonts w:ascii="Times New Roman" w:hAnsi="Times New Roman"/>
                <w:i/>
                <w:iCs/>
                <w:sz w:val="20"/>
                <w:szCs w:val="20"/>
              </w:rPr>
            </w:pPr>
            <w:r w:rsidRPr="00D60728">
              <w:rPr>
                <w:rFonts w:ascii="Times New Roman" w:hAnsi="Times New Roman"/>
                <w:i/>
                <w:iCs/>
                <w:sz w:val="20"/>
                <w:szCs w:val="20"/>
              </w:rPr>
              <w:t>MGIPU</w:t>
            </w:r>
          </w:p>
          <w:p w:rsidR="003665B3" w:rsidRPr="00D60728" w:rsidRDefault="003665B3"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tc>
      </w:tr>
      <w:tr w:rsidR="00853EA3" w:rsidRPr="00D60728" w:rsidTr="001D6533">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701"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Financijska sredstva za provedbu ovih aktivnosti planira MGIPU u okviru svojih godišnjih proračuna, kao sastavni dio svojih redovnih aktivnosti</w:t>
            </w:r>
          </w:p>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(MGIPU)</w:t>
            </w:r>
          </w:p>
        </w:tc>
      </w:tr>
      <w:tr w:rsidR="003665B3" w:rsidRPr="00D60728" w:rsidTr="001D6533">
        <w:trPr>
          <w:trHeight w:val="1417"/>
        </w:trPr>
        <w:tc>
          <w:tcPr>
            <w:tcW w:w="1129" w:type="dxa"/>
            <w:vMerge w:val="restart"/>
            <w:vAlign w:val="center"/>
            <w:hideMark/>
          </w:tcPr>
          <w:p w:rsidR="003665B3" w:rsidRPr="00D60728" w:rsidRDefault="003665B3"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701" w:type="dxa"/>
            <w:vAlign w:val="center"/>
          </w:tcPr>
          <w:p w:rsidR="003665B3" w:rsidRPr="00707212" w:rsidRDefault="003665B3" w:rsidP="00BF7DCC">
            <w:pPr>
              <w:spacing w:line="240" w:lineRule="auto"/>
              <w:jc w:val="left"/>
              <w:rPr>
                <w:rFonts w:ascii="Times New Roman" w:hAnsi="Times New Roman"/>
                <w:sz w:val="20"/>
                <w:szCs w:val="20"/>
              </w:rPr>
            </w:pPr>
            <w:r w:rsidRPr="00707212">
              <w:rPr>
                <w:rFonts w:ascii="Times New Roman" w:hAnsi="Times New Roman"/>
                <w:sz w:val="20"/>
                <w:szCs w:val="20"/>
              </w:rPr>
              <w:t xml:space="preserve">Očekivani rezultati </w:t>
            </w:r>
            <w:r w:rsidR="001D6533" w:rsidRPr="00707212">
              <w:rPr>
                <w:rFonts w:ascii="Times New Roman" w:hAnsi="Times New Roman"/>
                <w:sz w:val="20"/>
                <w:szCs w:val="20"/>
              </w:rPr>
              <w:t>- UČINAK</w:t>
            </w:r>
          </w:p>
        </w:tc>
        <w:tc>
          <w:tcPr>
            <w:tcW w:w="6628" w:type="dxa"/>
            <w:vAlign w:val="center"/>
          </w:tcPr>
          <w:p w:rsidR="000847E7" w:rsidRPr="00D60728" w:rsidRDefault="003665B3"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Mjera nema izravan učinak na smanjenje potrošnje energije, već je potpora regulatornoj mjeri izgradnje novih zgrada prema nZEB standardu, kao i promocijska mjera za energetsku obnovu do nZEB standarda, koja će rezultirati mjerljivim smanjenjem potrošnje energije, većim korištenjem OIE i izbjegnutim emisijama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r>
      <w:tr w:rsidR="000847E7" w:rsidRPr="00D60728" w:rsidTr="001D6533">
        <w:trPr>
          <w:trHeight w:val="1120"/>
        </w:trPr>
        <w:tc>
          <w:tcPr>
            <w:tcW w:w="1129" w:type="dxa"/>
            <w:vMerge/>
            <w:vAlign w:val="center"/>
            <w:hideMark/>
          </w:tcPr>
          <w:p w:rsidR="000847E7" w:rsidRPr="00D60728" w:rsidRDefault="000847E7" w:rsidP="00BF7DCC">
            <w:pPr>
              <w:spacing w:line="240" w:lineRule="auto"/>
              <w:jc w:val="left"/>
              <w:rPr>
                <w:rFonts w:ascii="Times New Roman" w:hAnsi="Times New Roman"/>
                <w:sz w:val="20"/>
                <w:szCs w:val="20"/>
              </w:rPr>
            </w:pPr>
          </w:p>
        </w:tc>
        <w:tc>
          <w:tcPr>
            <w:tcW w:w="1701" w:type="dxa"/>
            <w:vAlign w:val="center"/>
          </w:tcPr>
          <w:p w:rsidR="000847E7" w:rsidRPr="00707212" w:rsidRDefault="000847E7" w:rsidP="00BF7DCC">
            <w:pPr>
              <w:spacing w:line="240" w:lineRule="auto"/>
              <w:jc w:val="left"/>
              <w:rPr>
                <w:rFonts w:ascii="Times New Roman" w:hAnsi="Times New Roman"/>
                <w:sz w:val="20"/>
                <w:szCs w:val="20"/>
              </w:rPr>
            </w:pPr>
            <w:r w:rsidRPr="00707212">
              <w:rPr>
                <w:rFonts w:ascii="Times New Roman" w:hAnsi="Times New Roman"/>
                <w:sz w:val="20"/>
                <w:szCs w:val="20"/>
              </w:rPr>
              <w:t>Način praćenja provedbe mjere</w:t>
            </w:r>
          </w:p>
          <w:p w:rsidR="001D6533" w:rsidRPr="00707212" w:rsidRDefault="001D6533" w:rsidP="00BF7DCC">
            <w:pPr>
              <w:spacing w:line="240" w:lineRule="auto"/>
              <w:jc w:val="left"/>
              <w:rPr>
                <w:rFonts w:ascii="Times New Roman" w:hAnsi="Times New Roman"/>
                <w:sz w:val="20"/>
                <w:szCs w:val="20"/>
              </w:rPr>
            </w:pPr>
            <w:r w:rsidRPr="00707212">
              <w:rPr>
                <w:rFonts w:ascii="Times New Roman" w:hAnsi="Times New Roman"/>
                <w:sz w:val="20"/>
                <w:szCs w:val="20"/>
              </w:rPr>
              <w:t>POKAZATELJ PROVEDBE (INDIKATOR)</w:t>
            </w:r>
          </w:p>
        </w:tc>
        <w:tc>
          <w:tcPr>
            <w:tcW w:w="6628" w:type="dxa"/>
            <w:vAlign w:val="center"/>
          </w:tcPr>
          <w:p w:rsidR="000847E7" w:rsidRPr="00D60728" w:rsidRDefault="000847E7"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Izvješća o provedenim informativno-edukacijskim aktivnostima</w:t>
            </w:r>
          </w:p>
        </w:tc>
      </w:tr>
    </w:tbl>
    <w:p w:rsidR="00853EA3" w:rsidRPr="00D60728" w:rsidRDefault="00853EA3" w:rsidP="00BF7DCC">
      <w:pPr>
        <w:spacing w:line="240" w:lineRule="auto"/>
        <w:rPr>
          <w:sz w:val="20"/>
          <w:szCs w:val="20"/>
        </w:rPr>
      </w:pPr>
    </w:p>
    <w:p w:rsidR="00853EA3" w:rsidRPr="00D60728" w:rsidRDefault="00853EA3" w:rsidP="00BF7DCC">
      <w:pPr>
        <w:spacing w:line="240" w:lineRule="auto"/>
        <w:rPr>
          <w:sz w:val="20"/>
          <w:szCs w:val="20"/>
        </w:rPr>
      </w:pPr>
    </w:p>
    <w:p w:rsidR="00863E13" w:rsidRPr="00D60728" w:rsidRDefault="00863E13"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853EA3" w:rsidRPr="00707212" w:rsidTr="00863E13">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Program energetske obnove višestambenih zgrada</w:t>
            </w:r>
          </w:p>
        </w:tc>
      </w:tr>
      <w:tr w:rsidR="00853EA3" w:rsidRPr="00D60728" w:rsidTr="00863E13">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MEN-2</w:t>
            </w:r>
          </w:p>
        </w:tc>
      </w:tr>
      <w:tr w:rsidR="00853EA3" w:rsidRPr="00D60728" w:rsidTr="00863E13">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853EA3" w:rsidRPr="00D60728" w:rsidTr="00863E13">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863E13" w:rsidRPr="00D60728">
              <w:rPr>
                <w:rFonts w:ascii="Times New Roman" w:hAnsi="Times New Roman"/>
                <w:i/>
                <w:iCs/>
                <w:sz w:val="20"/>
                <w:szCs w:val="20"/>
              </w:rPr>
              <w:t>0</w:t>
            </w:r>
            <w:r w:rsidRPr="00D60728">
              <w:rPr>
                <w:rFonts w:ascii="Times New Roman" w:hAnsi="Times New Roman"/>
                <w:i/>
                <w:iCs/>
                <w:sz w:val="20"/>
                <w:szCs w:val="20"/>
              </w:rPr>
              <w:t>.</w:t>
            </w:r>
          </w:p>
        </w:tc>
      </w:tr>
      <w:tr w:rsidR="00853EA3" w:rsidRPr="00D60728" w:rsidTr="00863E13">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863E13" w:rsidRPr="00D60728">
              <w:rPr>
                <w:rFonts w:ascii="Times New Roman" w:hAnsi="Times New Roman"/>
                <w:i/>
                <w:iCs/>
                <w:sz w:val="20"/>
                <w:szCs w:val="20"/>
              </w:rPr>
              <w:t>24</w:t>
            </w:r>
            <w:r w:rsidRPr="00D60728">
              <w:rPr>
                <w:rFonts w:ascii="Times New Roman" w:hAnsi="Times New Roman"/>
                <w:i/>
                <w:iCs/>
                <w:sz w:val="20"/>
                <w:szCs w:val="20"/>
              </w:rPr>
              <w:t>.</w:t>
            </w:r>
          </w:p>
        </w:tc>
      </w:tr>
      <w:tr w:rsidR="00863E13" w:rsidRPr="00D60728" w:rsidTr="00863E13">
        <w:trPr>
          <w:trHeight w:val="5443"/>
        </w:trPr>
        <w:tc>
          <w:tcPr>
            <w:tcW w:w="1129" w:type="dxa"/>
            <w:vMerge/>
            <w:vAlign w:val="center"/>
            <w:hideMark/>
          </w:tcPr>
          <w:p w:rsidR="00863E13" w:rsidRPr="00D60728" w:rsidRDefault="00863E13" w:rsidP="00BF7DCC">
            <w:pPr>
              <w:spacing w:line="240" w:lineRule="auto"/>
              <w:jc w:val="left"/>
              <w:rPr>
                <w:rFonts w:ascii="Times New Roman" w:hAnsi="Times New Roman"/>
                <w:sz w:val="20"/>
                <w:szCs w:val="20"/>
              </w:rPr>
            </w:pPr>
          </w:p>
        </w:tc>
        <w:tc>
          <w:tcPr>
            <w:tcW w:w="1418" w:type="dxa"/>
            <w:vAlign w:val="center"/>
          </w:tcPr>
          <w:p w:rsidR="00863E13" w:rsidRPr="00D60728" w:rsidRDefault="00863E13"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863E13" w:rsidRPr="00D60728" w:rsidRDefault="00863E13" w:rsidP="00BF7DCC">
            <w:pPr>
              <w:spacing w:line="240" w:lineRule="auto"/>
              <w:rPr>
                <w:rFonts w:ascii="Times New Roman" w:hAnsi="Times New Roman"/>
                <w:i/>
                <w:iCs/>
                <w:sz w:val="20"/>
                <w:szCs w:val="20"/>
              </w:rPr>
            </w:pPr>
            <w:r w:rsidRPr="00D60728">
              <w:rPr>
                <w:rFonts w:ascii="Times New Roman" w:hAnsi="Times New Roman"/>
                <w:i/>
                <w:iCs/>
                <w:sz w:val="20"/>
                <w:szCs w:val="20"/>
              </w:rPr>
              <w:t>Program je potrebno koncipirati kao nastavak provedbe Programa energetske obnove višestambenih zgrada iz razdoblja od 2014. do 2020. U tu svrhu, potrebno je planirati sredstva iz ESI fondova za sljedeće programsko razdoblje 2021.-2027. (s provedbom do 2030.), a provedbene procedure je potrebno značajno olakšati, poglavito u dijelu provedbe javne nabave. Potrebno je poticati dubinsku obnovu zgrada. Snažnije je potrebno poticati obnovu do nZEB standarda. Dodatno, potrebno je razmotriti osnivanje posebnog fonda iz kojega će se troškovi refundirati energetski siromašnim kućanstvima ili kućanstvima u riziku od energetskog siromaštva, kako bi se uklonila prepreka osiguravanja dovoljnog broja suglasnosti suvlasnika za energetsku obnovu. Provedba Programa mora biti praćena snažnim promotivnim aktivnostima, osiguranom tehničkom pomoći prijaviteljima te je nužno osigurati praćenje potrošnje energije prije i nakon energetske obnove, za što je potrebno stvoriti preduvjete u sklopu ISGE-a. Predviđa se obnavljati oko 520.000 m</w:t>
            </w:r>
            <w:r w:rsidRPr="00D60728">
              <w:rPr>
                <w:rFonts w:ascii="Times New Roman" w:hAnsi="Times New Roman"/>
                <w:i/>
                <w:iCs/>
                <w:sz w:val="20"/>
                <w:szCs w:val="20"/>
                <w:vertAlign w:val="superscript"/>
              </w:rPr>
              <w:t>2</w:t>
            </w:r>
            <w:r w:rsidRPr="00D60728">
              <w:rPr>
                <w:rFonts w:ascii="Times New Roman" w:hAnsi="Times New Roman"/>
                <w:i/>
                <w:iCs/>
                <w:sz w:val="20"/>
                <w:szCs w:val="20"/>
              </w:rPr>
              <w:t xml:space="preserve"> višestambenih zgrada godišnje. Uštede su izračunate uz pretpostavku energetske obnove zgrada na razinu zadovoljavanja uvjeta iz Tehničkog propisa propisom o racionalnoj uporabi energije i toplinskoj zaštiti u zgradama, prema razdobljima izgradnje zgrada. Godišnje uštede iznose 0,148 PJ. Pretpostavljeni trošak energetske obnove je 1.500 kn/m</w:t>
            </w:r>
            <w:r w:rsidRPr="00D60728">
              <w:rPr>
                <w:rFonts w:ascii="Times New Roman" w:hAnsi="Times New Roman"/>
                <w:i/>
                <w:iCs/>
                <w:sz w:val="20"/>
                <w:szCs w:val="20"/>
                <w:vertAlign w:val="superscript"/>
              </w:rPr>
              <w:t>2</w:t>
            </w:r>
          </w:p>
        </w:tc>
      </w:tr>
      <w:tr w:rsidR="00853EA3" w:rsidRPr="00D60728" w:rsidTr="00863E13">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ListParagraph"/>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Tijekom 2020. godine MGIPU će izraditi Program energetske obnove višestambenih zgrada za razdoblje od 2021. do 2030. godine, kojega usvaja Vlada, a koji je temelj za korištenje sredstava ESI fondova u programskom razdoblju od 2021. do 2027. godine;</w:t>
            </w:r>
          </w:p>
          <w:p w:rsidR="00853EA3" w:rsidRPr="00D60728" w:rsidRDefault="00853EA3" w:rsidP="00BF7DCC">
            <w:pPr>
              <w:pStyle w:val="ListParagraph"/>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Provedba na način utvrđen Programom</w:t>
            </w:r>
          </w:p>
        </w:tc>
      </w:tr>
      <w:tr w:rsidR="00853EA3" w:rsidRPr="00D60728" w:rsidTr="00863E13">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FFFFFF" w:themeFill="background1"/>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MGIPU</w:t>
            </w:r>
          </w:p>
        </w:tc>
      </w:tr>
      <w:tr w:rsidR="00853EA3" w:rsidRPr="00D60728" w:rsidTr="00863E13">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Ostali dionici</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FZOEU</w:t>
            </w:r>
          </w:p>
        </w:tc>
      </w:tr>
      <w:tr w:rsidR="00853EA3" w:rsidRPr="00D60728" w:rsidTr="00863E13">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Procijenjeni investicijski trošak u razdoblju 2021.-2030 je 7,80 milijardi kn.</w:t>
            </w:r>
          </w:p>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Potrebno je osigurati bespovratna sredstava iz ESI fondova u iznosu do 60% opravdanih troškova, uz maksimalno sufinanciranje energetskih pregleda, energetskih certifikata, projektne dokumentacije i tehničke pomoći u pripremi i provedbi projekta. </w:t>
            </w:r>
          </w:p>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Potrebno je razmotriti mogućnost korištenja nacionalnih sredstava i drugih izvora financiranja.</w:t>
            </w:r>
          </w:p>
        </w:tc>
      </w:tr>
      <w:tr w:rsidR="00D453B6" w:rsidRPr="00D60728" w:rsidTr="009B6F17">
        <w:trPr>
          <w:trHeight w:val="839"/>
        </w:trPr>
        <w:tc>
          <w:tcPr>
            <w:tcW w:w="1129" w:type="dxa"/>
            <w:vMerge w:val="restart"/>
            <w:vAlign w:val="center"/>
            <w:hideMark/>
          </w:tcPr>
          <w:p w:rsidR="00D453B6" w:rsidRPr="00D60728" w:rsidRDefault="00D453B6"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D453B6" w:rsidRPr="00D60728" w:rsidRDefault="00D453B6"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B805C0" w:rsidRPr="00D60728" w:rsidRDefault="00B805C0" w:rsidP="00BF7DCC">
            <w:pPr>
              <w:pStyle w:val="ListParagraph"/>
              <w:numPr>
                <w:ilvl w:val="0"/>
                <w:numId w:val="64"/>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toplinskih gubitaka</w:t>
            </w:r>
          </w:p>
          <w:p w:rsidR="00B805C0" w:rsidRPr="00D60728" w:rsidRDefault="00B805C0" w:rsidP="00BF7DCC">
            <w:pPr>
              <w:pStyle w:val="ListParagraph"/>
              <w:numPr>
                <w:ilvl w:val="0"/>
                <w:numId w:val="64"/>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Uštede energije</w:t>
            </w:r>
          </w:p>
          <w:p w:rsidR="00D453B6" w:rsidRPr="00D60728" w:rsidRDefault="00B805C0" w:rsidP="00BF7DCC">
            <w:pPr>
              <w:pStyle w:val="ListParagraph"/>
              <w:numPr>
                <w:ilvl w:val="0"/>
                <w:numId w:val="64"/>
              </w:numPr>
              <w:spacing w:line="240" w:lineRule="auto"/>
              <w:ind w:left="284" w:hanging="284"/>
              <w:rPr>
                <w:rFonts w:ascii="Times New Roman" w:hAnsi="Times New Roman"/>
                <w:i/>
                <w:iCs/>
                <w:sz w:val="20"/>
                <w:szCs w:val="20"/>
              </w:rPr>
            </w:pPr>
            <w:r w:rsidRPr="00D60728">
              <w:rPr>
                <w:rFonts w:ascii="Times New Roman" w:hAnsi="Times New Roman"/>
                <w:i/>
                <w:iCs/>
                <w:sz w:val="20"/>
                <w:szCs w:val="20"/>
              </w:rPr>
              <w:t>Poticaj za građevinski sektor</w:t>
            </w:r>
          </w:p>
        </w:tc>
      </w:tr>
      <w:tr w:rsidR="0071213C" w:rsidRPr="00D60728" w:rsidTr="0071213C">
        <w:trPr>
          <w:trHeight w:val="1020"/>
        </w:trPr>
        <w:tc>
          <w:tcPr>
            <w:tcW w:w="1129" w:type="dxa"/>
            <w:vMerge/>
            <w:vAlign w:val="center"/>
            <w:hideMark/>
          </w:tcPr>
          <w:p w:rsidR="0071213C" w:rsidRPr="00D60728" w:rsidRDefault="0071213C" w:rsidP="00BF7DCC">
            <w:pPr>
              <w:spacing w:line="240" w:lineRule="auto"/>
              <w:jc w:val="left"/>
              <w:rPr>
                <w:rFonts w:ascii="Times New Roman" w:hAnsi="Times New Roman"/>
                <w:sz w:val="20"/>
                <w:szCs w:val="20"/>
              </w:rPr>
            </w:pPr>
          </w:p>
        </w:tc>
        <w:tc>
          <w:tcPr>
            <w:tcW w:w="1418" w:type="dxa"/>
            <w:vAlign w:val="center"/>
          </w:tcPr>
          <w:p w:rsidR="0071213C" w:rsidRPr="00D60728" w:rsidRDefault="0071213C"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71213C" w:rsidRPr="00D60728" w:rsidRDefault="0071213C"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Sustav za praćenje, mjerenje i verifikaciju ušteda energije (SMiV), metodom odozdo-prema-gore za integralnu obnovu zgrada</w:t>
            </w:r>
          </w:p>
        </w:tc>
      </w:tr>
    </w:tbl>
    <w:p w:rsidR="00853EA3" w:rsidRPr="00D60728" w:rsidRDefault="00853EA3" w:rsidP="00BF7DCC">
      <w:pPr>
        <w:spacing w:line="240" w:lineRule="auto"/>
        <w:rPr>
          <w:sz w:val="20"/>
          <w:szCs w:val="20"/>
        </w:rPr>
      </w:pPr>
    </w:p>
    <w:p w:rsidR="00B805C0" w:rsidRPr="00D60728" w:rsidRDefault="00B805C0"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853EA3" w:rsidRPr="00707212" w:rsidTr="00574FEC">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Program energetske obnove obiteljskih kuća</w:t>
            </w:r>
          </w:p>
        </w:tc>
      </w:tr>
      <w:tr w:rsidR="00853EA3" w:rsidRPr="00D60728" w:rsidTr="00574FEC">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MEN-3</w:t>
            </w:r>
          </w:p>
        </w:tc>
      </w:tr>
      <w:tr w:rsidR="00853EA3" w:rsidRPr="00D60728" w:rsidTr="00574FEC">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5F459D" w:rsidRPr="00D60728">
              <w:rPr>
                <w:rFonts w:ascii="Times New Roman" w:hAnsi="Times New Roman"/>
                <w:i/>
                <w:iCs/>
                <w:sz w:val="20"/>
                <w:szCs w:val="20"/>
              </w:rPr>
              <w:t>0</w:t>
            </w:r>
            <w:r w:rsidRPr="00D60728">
              <w:rPr>
                <w:rFonts w:ascii="Times New Roman" w:hAnsi="Times New Roman"/>
                <w:i/>
                <w:iCs/>
                <w:sz w:val="20"/>
                <w:szCs w:val="20"/>
              </w:rPr>
              <w:t>.</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5F459D" w:rsidRPr="00D60728">
              <w:rPr>
                <w:rFonts w:ascii="Times New Roman" w:hAnsi="Times New Roman"/>
                <w:i/>
                <w:iCs/>
                <w:sz w:val="20"/>
                <w:szCs w:val="20"/>
              </w:rPr>
              <w:t>24</w:t>
            </w:r>
            <w:r w:rsidRPr="00D60728">
              <w:rPr>
                <w:rFonts w:ascii="Times New Roman" w:hAnsi="Times New Roman"/>
                <w:i/>
                <w:iCs/>
                <w:sz w:val="20"/>
                <w:szCs w:val="20"/>
              </w:rPr>
              <w:t>.</w:t>
            </w:r>
          </w:p>
        </w:tc>
      </w:tr>
      <w:tr w:rsidR="005F459D" w:rsidRPr="00D60728" w:rsidTr="00707212">
        <w:trPr>
          <w:trHeight w:val="4949"/>
        </w:trPr>
        <w:tc>
          <w:tcPr>
            <w:tcW w:w="1129" w:type="dxa"/>
            <w:vMerge/>
            <w:vAlign w:val="center"/>
            <w:hideMark/>
          </w:tcPr>
          <w:p w:rsidR="005F459D" w:rsidRPr="00D60728" w:rsidRDefault="005F459D" w:rsidP="00BF7DCC">
            <w:pPr>
              <w:spacing w:line="240" w:lineRule="auto"/>
              <w:jc w:val="left"/>
              <w:rPr>
                <w:rFonts w:ascii="Times New Roman" w:hAnsi="Times New Roman"/>
                <w:sz w:val="20"/>
                <w:szCs w:val="20"/>
              </w:rPr>
            </w:pPr>
          </w:p>
        </w:tc>
        <w:tc>
          <w:tcPr>
            <w:tcW w:w="1418" w:type="dxa"/>
            <w:vAlign w:val="center"/>
          </w:tcPr>
          <w:p w:rsidR="005F459D" w:rsidRPr="00D60728" w:rsidRDefault="005F459D"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5F459D" w:rsidRPr="00D60728" w:rsidRDefault="005F459D" w:rsidP="00BF7DCC">
            <w:pPr>
              <w:spacing w:line="240" w:lineRule="auto"/>
              <w:rPr>
                <w:rFonts w:ascii="Times New Roman" w:hAnsi="Times New Roman"/>
                <w:i/>
                <w:iCs/>
                <w:sz w:val="20"/>
                <w:szCs w:val="20"/>
              </w:rPr>
            </w:pPr>
            <w:r w:rsidRPr="00D60728">
              <w:rPr>
                <w:rFonts w:ascii="Times New Roman" w:hAnsi="Times New Roman"/>
                <w:i/>
                <w:iCs/>
                <w:sz w:val="20"/>
                <w:szCs w:val="20"/>
              </w:rPr>
              <w:t>Program je potrebno koncipirati kao nastavak provedbe Programa energetske obnove obiteljskih kuća iz razdoblja od 2014. do 2020., uz sufinanciranje iz sredstava Fonda za zaštitu okoliša i energetsku učinkovitost. Potrebno je osigurati kontinuiranu provedbu obnove obiteljskih kuća obnovom javnih poziva za dodjelu bespovratnih sredstava svake godine u razdoblju 2021.-2030. Primarni izvori sufinanciranja trebaju biti prihodi od prodaje emisijskih jedinica stakleničkih plinova na dražbama te prihodi od naknada koju plaćaju opskrbljivači u sustavu obveze energetske učinkovitosti u slučaju neispunjenja svojih obveza. Programom se treba ostaviti mogućnost provedbe individualnih mjera, ali uz uvažavanje redoslijeda provedbe mjera (npr. zamjenu sustava grijanja učinkovitijim sustavom koji koristi OIE treba omogućiti samo onim kućama koje imaju dobre toplinske karakteristike i ne trebaju zahvate na ovojnici). Snažnije je potrebno poticati obnovu do nZEB standarda. Provedba Programa mora biti praćena snažnim promotivnim aktivnostima. Predviđa se obnavljati oko 350.000 m</w:t>
            </w:r>
            <w:r w:rsidRPr="00D60728">
              <w:rPr>
                <w:rFonts w:ascii="Times New Roman" w:hAnsi="Times New Roman"/>
                <w:i/>
                <w:iCs/>
                <w:sz w:val="20"/>
                <w:szCs w:val="20"/>
                <w:vertAlign w:val="superscript"/>
              </w:rPr>
              <w:t>2</w:t>
            </w:r>
            <w:r w:rsidRPr="00D60728">
              <w:rPr>
                <w:rFonts w:ascii="Times New Roman" w:hAnsi="Times New Roman"/>
                <w:i/>
                <w:iCs/>
                <w:sz w:val="20"/>
                <w:szCs w:val="20"/>
              </w:rPr>
              <w:t xml:space="preserve"> obiteljskih kuća godišnje. Uštede su izračunate uz pretpostavku energetske obnove zgrada na razinu zadovoljavanja uvjeta iz Tehničkog propisa propisom o racionalnoj uporabi energije i toplinskoj zaštiti u zgradama, prema razdobljima izgradnje zgrada. Godišnje uštede iznose 0,191 PJ. Pretpostavljeni trošak energetske obnove je 1.500 kn/m</w:t>
            </w:r>
            <w:r w:rsidRPr="00D60728">
              <w:rPr>
                <w:rFonts w:ascii="Times New Roman" w:hAnsi="Times New Roman"/>
                <w:i/>
                <w:iCs/>
                <w:sz w:val="20"/>
                <w:szCs w:val="20"/>
                <w:vertAlign w:val="superscript"/>
              </w:rPr>
              <w:t>2</w:t>
            </w:r>
            <w:r w:rsidRPr="00D60728">
              <w:rPr>
                <w:rFonts w:ascii="Times New Roman" w:hAnsi="Times New Roman"/>
                <w:i/>
                <w:iCs/>
                <w:sz w:val="20"/>
                <w:szCs w:val="20"/>
              </w:rPr>
              <w:t>.</w:t>
            </w:r>
          </w:p>
        </w:tc>
      </w:tr>
      <w:tr w:rsidR="00853EA3" w:rsidRPr="00D60728" w:rsidTr="00574FEC">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Tijekom 2020. godine MGIPU će izraditi Program energetske obnove obiteljskih kuća za razdoblje od 2021. do 2030. godine, kojega usvaja Vlada;</w:t>
            </w:r>
          </w:p>
          <w:p w:rsidR="00853EA3" w:rsidRPr="00D60728" w:rsidRDefault="00853EA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Tijekom 2020. godine Vlada usvaja novi Plan korištenja financijskih sredstava dobivenih od prodaje emisijskih jedinica putem dražbi u Republici Hrvatskoj za razdoblje od 2021. godine u kojem se predviđaju dostatna sredstva za provedbu ove mjere kao i Plan korištenja sredstava od naknade koju plaćaju opskrbljivači u sustavu obveze energetske učinkovitosti;</w:t>
            </w:r>
          </w:p>
          <w:p w:rsidR="00853EA3" w:rsidRPr="00D60728" w:rsidRDefault="00853EA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FZOEU se zadužuje za cjelokupnu provedbu ove mjere raspisivanjem godišnjih javnih poziva, čije kriterije razvija u suradnji s MGIPU. </w:t>
            </w:r>
          </w:p>
        </w:tc>
      </w:tr>
      <w:tr w:rsidR="005F459D" w:rsidRPr="00D60728" w:rsidTr="00574FEC">
        <w:trPr>
          <w:trHeight w:val="907"/>
        </w:trPr>
        <w:tc>
          <w:tcPr>
            <w:tcW w:w="1129" w:type="dxa"/>
            <w:vMerge/>
            <w:vAlign w:val="center"/>
            <w:hideMark/>
          </w:tcPr>
          <w:p w:rsidR="005F459D" w:rsidRPr="00D60728" w:rsidRDefault="005F459D" w:rsidP="00BF7DCC">
            <w:pPr>
              <w:spacing w:line="240" w:lineRule="auto"/>
              <w:jc w:val="left"/>
              <w:rPr>
                <w:rFonts w:ascii="Times New Roman" w:hAnsi="Times New Roman"/>
                <w:sz w:val="20"/>
                <w:szCs w:val="20"/>
              </w:rPr>
            </w:pPr>
          </w:p>
        </w:tc>
        <w:tc>
          <w:tcPr>
            <w:tcW w:w="1418" w:type="dxa"/>
            <w:vAlign w:val="center"/>
            <w:hideMark/>
          </w:tcPr>
          <w:p w:rsidR="005F459D" w:rsidRPr="00D60728" w:rsidRDefault="005F459D"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5F459D" w:rsidRPr="00D60728" w:rsidRDefault="005F459D"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MGIPU – izrada Programa, definiranje kriterija, operativno praćenje provedbe Programa; </w:t>
            </w:r>
          </w:p>
          <w:p w:rsidR="005F459D" w:rsidRPr="00D60728" w:rsidRDefault="005F459D" w:rsidP="00BF7DCC">
            <w:pPr>
              <w:spacing w:line="240" w:lineRule="auto"/>
              <w:rPr>
                <w:rFonts w:ascii="Times New Roman" w:hAnsi="Times New Roman"/>
                <w:i/>
                <w:iCs/>
                <w:sz w:val="20"/>
                <w:szCs w:val="20"/>
              </w:rPr>
            </w:pPr>
            <w:r w:rsidRPr="00D60728">
              <w:rPr>
                <w:rFonts w:ascii="Times New Roman" w:hAnsi="Times New Roman"/>
                <w:i/>
                <w:iCs/>
                <w:sz w:val="20"/>
                <w:szCs w:val="20"/>
              </w:rPr>
              <w:t>FZOEU – cjelokupna provedba Programa putem godišnjih javnih poziva</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Procijenjeni investicijski trošak u razdoblju 2021.-2030. je 5,25 milijardi kn.</w:t>
            </w:r>
          </w:p>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Potrebno je osigurati bespovratna sredstava iz FZOEU u iznosu do 60% opravdanih troškova opreme i radova energetske obnove. Sredstva FZOEU osigurava iz prihoda dobivenih od prodaje emisijskih jedinica putem dražbi te prihoda iz sustava obveza energetske učinkovitosti kao i drugih izvora prihoda FZOEU-a </w:t>
            </w:r>
          </w:p>
        </w:tc>
      </w:tr>
      <w:tr w:rsidR="005F459D" w:rsidRPr="00D60728" w:rsidTr="00574FEC">
        <w:trPr>
          <w:trHeight w:val="2041"/>
        </w:trPr>
        <w:tc>
          <w:tcPr>
            <w:tcW w:w="1129" w:type="dxa"/>
            <w:vMerge w:val="restart"/>
            <w:vAlign w:val="center"/>
            <w:hideMark/>
          </w:tcPr>
          <w:p w:rsidR="005F459D" w:rsidRPr="00D60728" w:rsidRDefault="005F459D" w:rsidP="00BF7DCC">
            <w:pPr>
              <w:spacing w:line="240" w:lineRule="auto"/>
              <w:jc w:val="left"/>
              <w:rPr>
                <w:rFonts w:ascii="Times New Roman" w:hAnsi="Times New Roman"/>
                <w:sz w:val="20"/>
                <w:szCs w:val="20"/>
              </w:rPr>
            </w:pPr>
            <w:r w:rsidRPr="00D60728">
              <w:rPr>
                <w:rFonts w:ascii="Times New Roman" w:hAnsi="Times New Roman"/>
                <w:sz w:val="20"/>
                <w:szCs w:val="20"/>
              </w:rPr>
              <w:lastRenderedPageBreak/>
              <w:t>Praćenje provedbe</w:t>
            </w:r>
          </w:p>
        </w:tc>
        <w:tc>
          <w:tcPr>
            <w:tcW w:w="1418" w:type="dxa"/>
            <w:vAlign w:val="center"/>
          </w:tcPr>
          <w:p w:rsidR="005F459D" w:rsidRPr="00D60728" w:rsidRDefault="005F459D"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5F459D" w:rsidRPr="00D60728" w:rsidRDefault="005F459D"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toplinskih potreba i potrošnje energije u obiteljskim kućama i povećanje korištenja OIE te posljedično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w:t>
            </w:r>
          </w:p>
          <w:p w:rsidR="005F459D" w:rsidRPr="00D60728" w:rsidRDefault="005F459D"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Procijenjene uštede u 2030. 1,91 PJ (45,60 ktoe); procijenjeno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2030. 52,57 ktCO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e; </w:t>
            </w:r>
          </w:p>
          <w:p w:rsidR="005F459D" w:rsidRPr="00D60728" w:rsidRDefault="005F459D"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Kumulativne uštede energije u razdoblju 2021.-2030. 10,50 PJ (250,80 ktoe); </w:t>
            </w:r>
          </w:p>
          <w:p w:rsidR="005F459D" w:rsidRPr="00D60728" w:rsidRDefault="005F459D"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Kumulativno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razdoblju 2021.-2030. 299,12 ktCO</w:t>
            </w:r>
            <w:r w:rsidRPr="00D60728">
              <w:rPr>
                <w:rFonts w:ascii="Times New Roman" w:hAnsi="Times New Roman"/>
                <w:i/>
                <w:iCs/>
                <w:sz w:val="20"/>
                <w:szCs w:val="20"/>
                <w:vertAlign w:val="subscript"/>
              </w:rPr>
              <w:t>2</w:t>
            </w:r>
            <w:r w:rsidRPr="00D60728">
              <w:rPr>
                <w:rFonts w:ascii="Times New Roman" w:hAnsi="Times New Roman"/>
                <w:i/>
                <w:iCs/>
                <w:sz w:val="20"/>
                <w:szCs w:val="20"/>
              </w:rPr>
              <w:t>e</w:t>
            </w:r>
          </w:p>
        </w:tc>
      </w:tr>
      <w:tr w:rsidR="005F459D" w:rsidRPr="00D60728" w:rsidTr="00574FEC">
        <w:trPr>
          <w:trHeight w:val="907"/>
        </w:trPr>
        <w:tc>
          <w:tcPr>
            <w:tcW w:w="1129" w:type="dxa"/>
            <w:vMerge/>
            <w:vAlign w:val="center"/>
            <w:hideMark/>
          </w:tcPr>
          <w:p w:rsidR="005F459D" w:rsidRPr="00D60728" w:rsidRDefault="005F459D" w:rsidP="00BF7DCC">
            <w:pPr>
              <w:spacing w:line="240" w:lineRule="auto"/>
              <w:jc w:val="left"/>
              <w:rPr>
                <w:rFonts w:ascii="Times New Roman" w:hAnsi="Times New Roman"/>
                <w:sz w:val="20"/>
                <w:szCs w:val="20"/>
              </w:rPr>
            </w:pPr>
          </w:p>
        </w:tc>
        <w:tc>
          <w:tcPr>
            <w:tcW w:w="1418" w:type="dxa"/>
            <w:vAlign w:val="center"/>
          </w:tcPr>
          <w:p w:rsidR="005F459D" w:rsidRPr="00D60728" w:rsidRDefault="005F459D"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5F459D" w:rsidRPr="00D60728" w:rsidRDefault="005F459D"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Sustav za praćenje, mjerenje i verifikaciju ušteda energije (SMiV), metodom odozdo-prema-gore za integralnu obnovu zgrada ili drugom odgovarajućom metodom, ako se radi o provedbi individualnih mjera</w:t>
            </w:r>
          </w:p>
        </w:tc>
      </w:tr>
    </w:tbl>
    <w:p w:rsidR="00853EA3" w:rsidRPr="00D60728" w:rsidRDefault="00853EA3" w:rsidP="00BF7DCC">
      <w:pPr>
        <w:spacing w:line="240" w:lineRule="auto"/>
        <w:rPr>
          <w:sz w:val="20"/>
          <w:szCs w:val="20"/>
        </w:rPr>
      </w:pPr>
    </w:p>
    <w:p w:rsidR="005F459D" w:rsidRPr="00D60728" w:rsidRDefault="005F459D"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853EA3" w:rsidRPr="00707212" w:rsidTr="00574FEC">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562A60">
              <w:rPr>
                <w:rFonts w:ascii="Times New Roman" w:hAnsi="Times New Roman"/>
                <w:b/>
                <w:i/>
                <w:iCs/>
                <w:highlight w:val="yellow"/>
              </w:rPr>
              <w:t>Program energetske obnove zgrada javnog sektora</w:t>
            </w:r>
          </w:p>
        </w:tc>
      </w:tr>
      <w:tr w:rsidR="00853EA3" w:rsidRPr="00D60728" w:rsidTr="00574FEC">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MEN-4</w:t>
            </w:r>
          </w:p>
        </w:tc>
      </w:tr>
      <w:tr w:rsidR="00853EA3" w:rsidRPr="00D60728" w:rsidTr="00574FEC">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574FEC" w:rsidRPr="00D60728">
              <w:rPr>
                <w:rFonts w:ascii="Times New Roman" w:hAnsi="Times New Roman"/>
                <w:i/>
                <w:iCs/>
                <w:sz w:val="20"/>
                <w:szCs w:val="20"/>
              </w:rPr>
              <w:t>0</w:t>
            </w:r>
            <w:r w:rsidRPr="00D60728">
              <w:rPr>
                <w:rFonts w:ascii="Times New Roman" w:hAnsi="Times New Roman"/>
                <w:i/>
                <w:iCs/>
                <w:sz w:val="20"/>
                <w:szCs w:val="20"/>
              </w:rPr>
              <w:t>.</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574FEC" w:rsidRPr="00D60728">
              <w:rPr>
                <w:rFonts w:ascii="Times New Roman" w:hAnsi="Times New Roman"/>
                <w:i/>
                <w:iCs/>
                <w:sz w:val="20"/>
                <w:szCs w:val="20"/>
              </w:rPr>
              <w:t>24</w:t>
            </w:r>
            <w:r w:rsidRPr="00D60728">
              <w:rPr>
                <w:rFonts w:ascii="Times New Roman" w:hAnsi="Times New Roman"/>
                <w:i/>
                <w:iCs/>
                <w:sz w:val="20"/>
                <w:szCs w:val="20"/>
              </w:rPr>
              <w:t>.</w:t>
            </w:r>
          </w:p>
        </w:tc>
      </w:tr>
      <w:tr w:rsidR="005F459D" w:rsidRPr="00D60728" w:rsidTr="00707212">
        <w:trPr>
          <w:trHeight w:val="5137"/>
        </w:trPr>
        <w:tc>
          <w:tcPr>
            <w:tcW w:w="1129" w:type="dxa"/>
            <w:vMerge/>
            <w:vAlign w:val="center"/>
            <w:hideMark/>
          </w:tcPr>
          <w:p w:rsidR="005F459D" w:rsidRPr="00D60728" w:rsidRDefault="005F459D" w:rsidP="00BF7DCC">
            <w:pPr>
              <w:spacing w:line="240" w:lineRule="auto"/>
              <w:jc w:val="left"/>
              <w:rPr>
                <w:rFonts w:ascii="Times New Roman" w:hAnsi="Times New Roman"/>
                <w:sz w:val="20"/>
                <w:szCs w:val="20"/>
              </w:rPr>
            </w:pPr>
          </w:p>
        </w:tc>
        <w:tc>
          <w:tcPr>
            <w:tcW w:w="1418" w:type="dxa"/>
            <w:vAlign w:val="center"/>
          </w:tcPr>
          <w:p w:rsidR="005F459D" w:rsidRPr="00D60728" w:rsidRDefault="005F459D"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5F459D" w:rsidRPr="00D60728" w:rsidRDefault="005F459D" w:rsidP="00BF7DCC">
            <w:pPr>
              <w:spacing w:line="240" w:lineRule="auto"/>
              <w:rPr>
                <w:rFonts w:ascii="Times New Roman" w:hAnsi="Times New Roman"/>
                <w:i/>
                <w:iCs/>
                <w:sz w:val="20"/>
                <w:szCs w:val="20"/>
              </w:rPr>
            </w:pPr>
            <w:r w:rsidRPr="00D60728">
              <w:rPr>
                <w:rFonts w:ascii="Times New Roman" w:hAnsi="Times New Roman"/>
                <w:i/>
                <w:iCs/>
                <w:sz w:val="20"/>
                <w:szCs w:val="20"/>
              </w:rPr>
              <w:t>Mjera predstavlja nastavak provedbe Programa energetske obnove zgrada javnog sektora iz razdoblja 2016. do 2020. U tu svrhu, potrebno je planirati sredstva iz ESI fondova za sljedeće programsko razdoblje 2021. -2027. (s provedbom do 2030). Sredstva je potrebno planirati tako da se osigura i aktiviranje privatnog kapitala i ESCO tržišta, poglavito za zgrade koje su prikladne za ovakve modele financiranja (zgrade s kontinuiranim radom, kao što su bolnice, kaznionice, domovi za smještaj starijih i sl.) i koje pripadaju kategoriji zgrada središnje države, za koje postoji obvezujući cilj obnove definiran u Direktivi 2012/27/EU o energetskoj učinkovitosti. Tržišne modele potrebno je kombinirati s bespovratnim sredstvima s ciljem postizanja nZEB standarda. Osim ESI sredstava, FZOEU je također dužan planirati sredstva za ovaj Program i to u dijelu koji se odnosi na sufinanciranje energetske obnove zgrada središnje države po ESCO modelu. Za zgrade koje nisu prikladne za tržišne modele, potrebno je osigurati bespovratna sredstva prema istim uvjetima kao u dosadašnjem programu. Obnovu zgrada javnog sektora nužno je usmjeriti prema nZEB standardu svugdje gdje je to tehnički izvedivo. Predviđa se obnavljati oko 350.000 m2 javnih zgrada godišnje. Uštede su izračunate uz pretpostavku energetske obnove zgrada na razinu zadovoljavanja uvjeta iz Tehničkog propisa propisom o racionalnoj uporabi energije i toplinskoj zaštiti u zgradama, prema razdobljima izgradnje zgrada. Godišnje uštede iznose 0,169 PJ. Pretpostavljeni trošak energetske obnove je 2.500 kn/m2.</w:t>
            </w:r>
          </w:p>
        </w:tc>
      </w:tr>
      <w:tr w:rsidR="00853EA3" w:rsidRPr="00D60728" w:rsidTr="00574FEC">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Tijekom 2020. godine MGIPU će izraditi Program energetske obnove zgrada javnog sektora za razdoblje od 2021. do 2030. godine, kojega usvaja Vlada, a koji je temelj za korištenje sredstava ESI fondova u programskom razdoblju od 2021. do 2027. godine kao i temelj za planiranje sredstva FZOEU-a;</w:t>
            </w:r>
          </w:p>
          <w:p w:rsidR="00853EA3" w:rsidRPr="00D60728" w:rsidRDefault="00853EA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Provedba na način utvrđen Programom </w:t>
            </w:r>
          </w:p>
          <w:p w:rsidR="00853EA3" w:rsidRPr="00D60728" w:rsidRDefault="00853EA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Za energetsku obnovu zgrada središnje države kao i drugih zgrada javnog sektora , gdje je to izvedivo primjenjivat će se model energetske usluge (ESCO), za čiju je provedbu zadužen APN, a sufinanciranje se osigurava iz FZOEU i iz drugih izvora uključujući ESI fondove – ovaj segment Programa je nužan kako bi se mobilizirao privatni kapital, razvilo tržište energetskih usluga i ostvarili ciljevi bez dodatnog zaduživanja javnog sektora.</w:t>
            </w:r>
          </w:p>
        </w:tc>
      </w:tr>
      <w:tr w:rsidR="005F459D" w:rsidRPr="00D60728" w:rsidTr="00574FEC">
        <w:trPr>
          <w:trHeight w:val="964"/>
        </w:trPr>
        <w:tc>
          <w:tcPr>
            <w:tcW w:w="1129" w:type="dxa"/>
            <w:vMerge/>
            <w:vAlign w:val="center"/>
            <w:hideMark/>
          </w:tcPr>
          <w:p w:rsidR="005F459D" w:rsidRPr="00D60728" w:rsidRDefault="005F459D" w:rsidP="00BF7DCC">
            <w:pPr>
              <w:spacing w:line="240" w:lineRule="auto"/>
              <w:jc w:val="left"/>
              <w:rPr>
                <w:rFonts w:ascii="Times New Roman" w:hAnsi="Times New Roman"/>
                <w:sz w:val="20"/>
                <w:szCs w:val="20"/>
              </w:rPr>
            </w:pPr>
          </w:p>
        </w:tc>
        <w:tc>
          <w:tcPr>
            <w:tcW w:w="1418" w:type="dxa"/>
            <w:vAlign w:val="center"/>
            <w:hideMark/>
          </w:tcPr>
          <w:p w:rsidR="005F459D" w:rsidRPr="00D60728" w:rsidRDefault="005F459D"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FFFFFF" w:themeFill="background1"/>
            <w:vAlign w:val="center"/>
          </w:tcPr>
          <w:p w:rsidR="005F459D" w:rsidRPr="00D60728" w:rsidRDefault="005F459D" w:rsidP="00BF7DCC">
            <w:pPr>
              <w:spacing w:line="240" w:lineRule="auto"/>
              <w:rPr>
                <w:rFonts w:ascii="Times New Roman" w:hAnsi="Times New Roman"/>
                <w:i/>
                <w:iCs/>
                <w:sz w:val="20"/>
                <w:szCs w:val="20"/>
              </w:rPr>
            </w:pPr>
            <w:r w:rsidRPr="00D60728">
              <w:rPr>
                <w:rFonts w:ascii="Times New Roman" w:hAnsi="Times New Roman"/>
                <w:i/>
                <w:iCs/>
                <w:sz w:val="20"/>
                <w:szCs w:val="20"/>
              </w:rPr>
              <w:t>MGIPU</w:t>
            </w:r>
          </w:p>
          <w:p w:rsidR="005F459D" w:rsidRPr="00D60728" w:rsidRDefault="005F459D" w:rsidP="00BF7DCC">
            <w:pPr>
              <w:spacing w:line="240" w:lineRule="auto"/>
              <w:rPr>
                <w:rFonts w:ascii="Times New Roman" w:hAnsi="Times New Roman"/>
                <w:i/>
                <w:iCs/>
                <w:sz w:val="20"/>
                <w:szCs w:val="20"/>
              </w:rPr>
            </w:pPr>
            <w:r w:rsidRPr="00D60728">
              <w:rPr>
                <w:rFonts w:ascii="Times New Roman" w:hAnsi="Times New Roman"/>
                <w:i/>
                <w:iCs/>
                <w:sz w:val="20"/>
                <w:szCs w:val="20"/>
              </w:rPr>
              <w:t>FZOEU</w:t>
            </w:r>
          </w:p>
          <w:p w:rsidR="005F459D" w:rsidRPr="00D60728" w:rsidRDefault="005F459D" w:rsidP="00BF7DCC">
            <w:pPr>
              <w:spacing w:line="240" w:lineRule="auto"/>
              <w:rPr>
                <w:rFonts w:ascii="Times New Roman" w:hAnsi="Times New Roman"/>
                <w:i/>
                <w:iCs/>
                <w:sz w:val="20"/>
                <w:szCs w:val="20"/>
              </w:rPr>
            </w:pPr>
            <w:r w:rsidRPr="00D60728">
              <w:rPr>
                <w:rFonts w:ascii="Times New Roman" w:hAnsi="Times New Roman"/>
                <w:i/>
                <w:iCs/>
                <w:sz w:val="20"/>
                <w:szCs w:val="20"/>
              </w:rPr>
              <w:t>APN</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Procijenjeni investicijski trošak u razdoblju 2021.-2030. je 8,75 milijardi kn.</w:t>
            </w:r>
          </w:p>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Potrebno je osigurati bespovratna sredstava iz ESI fondova kao i u prethodnom Programu u ovisnosti o klimatskoj zoni (primorska ili kontinentalna) i indeksu razvijenosti, uz maksimalno sufinanciranje energetskih pregleda, energetskih certifikata, projektne dokumentacije i tehničke pomoći u pripremi i provedbi projekta</w:t>
            </w:r>
          </w:p>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Za ESCO model, FZOEU osigurava sredstva iz prihoda dobivenih od prodaje emisijskih jedinica putem dražbi te prihoda iz sustava obveza energetske učinkovitosti kao i drugih izvora prihoda FZOEU-a.</w:t>
            </w:r>
          </w:p>
        </w:tc>
      </w:tr>
      <w:tr w:rsidR="000B31E3" w:rsidRPr="00D60728" w:rsidTr="00574FEC">
        <w:trPr>
          <w:trHeight w:val="1757"/>
        </w:trPr>
        <w:tc>
          <w:tcPr>
            <w:tcW w:w="1129" w:type="dxa"/>
            <w:vMerge w:val="restart"/>
            <w:vAlign w:val="center"/>
            <w:hideMark/>
          </w:tcPr>
          <w:p w:rsidR="000B31E3" w:rsidRPr="00D60728" w:rsidRDefault="000B31E3"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0B31E3" w:rsidRPr="00D60728" w:rsidRDefault="000B31E3"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0B31E3" w:rsidRPr="00D60728" w:rsidRDefault="000B31E3"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toplinskih potreba i potrošnje energije u zgradama javnog sektora i povećanje korištenja OIE te posljedično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p w:rsidR="000B31E3" w:rsidRPr="00D60728" w:rsidRDefault="000B31E3"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procijenjene uštede u 2030. 1,69 PJ (40,40 ktoe);</w:t>
            </w:r>
          </w:p>
          <w:p w:rsidR="000B31E3" w:rsidRPr="00D60728" w:rsidRDefault="000B31E3"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2030. 46,52 ktCO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p w:rsidR="000B31E3" w:rsidRPr="00D60728" w:rsidRDefault="000B31E3"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kumulativne uštede energije u razdoblju 2021.-2030. 9,30 PJ (222,20 ktoe);</w:t>
            </w:r>
          </w:p>
          <w:p w:rsidR="000B31E3" w:rsidRPr="00D60728" w:rsidRDefault="000B31E3"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kumulativno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razdoblju 2021.-2030. 264,93 ktCO</w:t>
            </w:r>
            <w:r w:rsidRPr="00D60728">
              <w:rPr>
                <w:rFonts w:ascii="Times New Roman" w:hAnsi="Times New Roman"/>
                <w:i/>
                <w:iCs/>
                <w:sz w:val="20"/>
                <w:szCs w:val="20"/>
                <w:vertAlign w:val="subscript"/>
              </w:rPr>
              <w:t>2e</w:t>
            </w:r>
          </w:p>
        </w:tc>
      </w:tr>
      <w:tr w:rsidR="000B31E3" w:rsidRPr="00D60728" w:rsidTr="00574FEC">
        <w:trPr>
          <w:trHeight w:val="1120"/>
        </w:trPr>
        <w:tc>
          <w:tcPr>
            <w:tcW w:w="1129" w:type="dxa"/>
            <w:vMerge/>
            <w:vAlign w:val="center"/>
            <w:hideMark/>
          </w:tcPr>
          <w:p w:rsidR="000B31E3" w:rsidRPr="00D60728" w:rsidRDefault="000B31E3" w:rsidP="00BF7DCC">
            <w:pPr>
              <w:spacing w:line="240" w:lineRule="auto"/>
              <w:jc w:val="left"/>
              <w:rPr>
                <w:rFonts w:ascii="Times New Roman" w:hAnsi="Times New Roman"/>
                <w:sz w:val="20"/>
                <w:szCs w:val="20"/>
              </w:rPr>
            </w:pPr>
          </w:p>
        </w:tc>
        <w:tc>
          <w:tcPr>
            <w:tcW w:w="1418" w:type="dxa"/>
            <w:vAlign w:val="center"/>
          </w:tcPr>
          <w:p w:rsidR="000B31E3" w:rsidRPr="00D60728" w:rsidRDefault="000B31E3"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0B31E3" w:rsidRPr="00D60728" w:rsidRDefault="000B31E3" w:rsidP="00BF7DCC">
            <w:pPr>
              <w:pStyle w:val="ListParagraph"/>
              <w:numPr>
                <w:ilvl w:val="0"/>
                <w:numId w:val="31"/>
              </w:numPr>
              <w:spacing w:line="240" w:lineRule="auto"/>
              <w:ind w:left="340" w:hanging="340"/>
              <w:contextualSpacing w:val="0"/>
              <w:jc w:val="left"/>
              <w:rPr>
                <w:rFonts w:ascii="Times New Roman" w:hAnsi="Times New Roman"/>
                <w:i/>
                <w:sz w:val="20"/>
                <w:szCs w:val="20"/>
              </w:rPr>
            </w:pPr>
            <w:r w:rsidRPr="00D60728">
              <w:rPr>
                <w:rFonts w:ascii="Times New Roman" w:hAnsi="Times New Roman"/>
                <w:i/>
                <w:sz w:val="20"/>
                <w:szCs w:val="20"/>
              </w:rPr>
              <w:t>Sustav za praćenje, mjerenje i verifikaciju ušteda energije (SMiV), metodom odozdo-prema-gore za integralnu obnovu zgrada</w:t>
            </w:r>
          </w:p>
        </w:tc>
      </w:tr>
    </w:tbl>
    <w:p w:rsidR="00853EA3" w:rsidRPr="00D60728" w:rsidRDefault="00853EA3" w:rsidP="00BF7DCC">
      <w:pPr>
        <w:spacing w:line="240" w:lineRule="auto"/>
        <w:rPr>
          <w:sz w:val="20"/>
          <w:szCs w:val="20"/>
        </w:rPr>
      </w:pPr>
    </w:p>
    <w:p w:rsidR="000B31E3" w:rsidRPr="00D60728" w:rsidRDefault="000B31E3"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853EA3" w:rsidRPr="00707212" w:rsidTr="00574FEC">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Program energetske obnove zgrada koje imaju status kulturnog dobra</w:t>
            </w:r>
          </w:p>
        </w:tc>
      </w:tr>
      <w:tr w:rsidR="00853EA3" w:rsidRPr="00D60728" w:rsidTr="00574FEC">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MEN-5</w:t>
            </w:r>
          </w:p>
        </w:tc>
      </w:tr>
      <w:tr w:rsidR="00853EA3" w:rsidRPr="00D60728" w:rsidTr="00574FEC">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574FEC" w:rsidRPr="00D60728">
              <w:rPr>
                <w:rFonts w:ascii="Times New Roman" w:hAnsi="Times New Roman"/>
                <w:i/>
                <w:iCs/>
                <w:sz w:val="20"/>
                <w:szCs w:val="20"/>
              </w:rPr>
              <w:t>0</w:t>
            </w:r>
            <w:r w:rsidRPr="00D60728">
              <w:rPr>
                <w:rFonts w:ascii="Times New Roman" w:hAnsi="Times New Roman"/>
                <w:i/>
                <w:iCs/>
                <w:sz w:val="20"/>
                <w:szCs w:val="20"/>
              </w:rPr>
              <w:t>.</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574FEC" w:rsidRPr="00D60728">
              <w:rPr>
                <w:rFonts w:ascii="Times New Roman" w:hAnsi="Times New Roman"/>
                <w:i/>
                <w:iCs/>
                <w:sz w:val="20"/>
                <w:szCs w:val="20"/>
              </w:rPr>
              <w:t>24</w:t>
            </w:r>
            <w:r w:rsidRPr="00D60728">
              <w:rPr>
                <w:rFonts w:ascii="Times New Roman" w:hAnsi="Times New Roman"/>
                <w:i/>
                <w:iCs/>
                <w:sz w:val="20"/>
                <w:szCs w:val="20"/>
              </w:rPr>
              <w:t>.</w:t>
            </w:r>
          </w:p>
        </w:tc>
      </w:tr>
      <w:tr w:rsidR="002D74B8" w:rsidRPr="00D60728" w:rsidTr="00707212">
        <w:trPr>
          <w:trHeight w:val="2081"/>
        </w:trPr>
        <w:tc>
          <w:tcPr>
            <w:tcW w:w="1129" w:type="dxa"/>
            <w:vMerge/>
            <w:vAlign w:val="center"/>
            <w:hideMark/>
          </w:tcPr>
          <w:p w:rsidR="002D74B8" w:rsidRPr="00D60728" w:rsidRDefault="002D74B8" w:rsidP="00BF7DCC">
            <w:pPr>
              <w:spacing w:line="240" w:lineRule="auto"/>
              <w:jc w:val="left"/>
              <w:rPr>
                <w:rFonts w:ascii="Times New Roman" w:hAnsi="Times New Roman"/>
                <w:sz w:val="20"/>
                <w:szCs w:val="20"/>
              </w:rPr>
            </w:pPr>
          </w:p>
        </w:tc>
        <w:tc>
          <w:tcPr>
            <w:tcW w:w="1418" w:type="dxa"/>
            <w:vAlign w:val="center"/>
          </w:tcPr>
          <w:p w:rsidR="002D74B8" w:rsidRPr="00D60728" w:rsidRDefault="002D74B8"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2D74B8" w:rsidRPr="00D60728" w:rsidRDefault="002D74B8" w:rsidP="00BF7DCC">
            <w:pPr>
              <w:spacing w:line="240" w:lineRule="auto"/>
              <w:rPr>
                <w:rFonts w:ascii="Times New Roman" w:hAnsi="Times New Roman"/>
                <w:i/>
                <w:iCs/>
                <w:sz w:val="20"/>
                <w:szCs w:val="20"/>
              </w:rPr>
            </w:pPr>
            <w:r w:rsidRPr="00D60728">
              <w:rPr>
                <w:rFonts w:ascii="Times New Roman" w:hAnsi="Times New Roman"/>
                <w:i/>
                <w:iCs/>
                <w:sz w:val="20"/>
                <w:szCs w:val="20"/>
              </w:rPr>
              <w:t>Zaštićene zgrade u smislu ovog Programa su one koje se mogu svrstati u dvije kategorije: Pojedinačno zaštićena kulturna dobra (pojedinačne građevine i graditeljski sklopovi) i Zgrade koje se nalaze unutar zaštićene kulturno-povijesne cjeline. Program ne obuhvaća zgrade zaštićene kao preventivno zaštićeno kulturno dobro, niti zgrade zaštićene kao evidentirano kulturno dobro. Kroz Program razvijena su dva osnovna pristupa energetskoj obnovi zgrada koje su predmet ovog Programa: cjeloviti (integralni) pristup te pristup s primjenom pojedinačnih mjera energetske obnove.</w:t>
            </w:r>
          </w:p>
          <w:p w:rsidR="002D74B8" w:rsidRPr="00D60728" w:rsidRDefault="002D74B8" w:rsidP="00BF7DCC">
            <w:pPr>
              <w:spacing w:line="240" w:lineRule="auto"/>
              <w:rPr>
                <w:rFonts w:ascii="Times New Roman" w:hAnsi="Times New Roman"/>
                <w:i/>
                <w:iCs/>
                <w:sz w:val="20"/>
                <w:szCs w:val="20"/>
              </w:rPr>
            </w:pPr>
          </w:p>
        </w:tc>
      </w:tr>
      <w:tr w:rsidR="00853EA3" w:rsidRPr="00D60728" w:rsidTr="00574FEC">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CB1E55" w:rsidRPr="00D60728" w:rsidRDefault="00CB1E55" w:rsidP="00BF7DCC">
            <w:pPr>
              <w:pStyle w:val="ListParagraph"/>
              <w:numPr>
                <w:ilvl w:val="0"/>
                <w:numId w:val="65"/>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obnova zgrada (integralni pristup te pristup s primjenom pojedinačnih mjera energetske obnove)</w:t>
            </w:r>
          </w:p>
          <w:p w:rsidR="00853EA3" w:rsidRPr="00D60728" w:rsidRDefault="00CB1E55" w:rsidP="00BF7DCC">
            <w:pPr>
              <w:pStyle w:val="ListParagraph"/>
              <w:numPr>
                <w:ilvl w:val="0"/>
                <w:numId w:val="65"/>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održavanje.</w:t>
            </w:r>
          </w:p>
        </w:tc>
      </w:tr>
      <w:tr w:rsidR="00CB1E55" w:rsidRPr="00D60728" w:rsidTr="00574FEC">
        <w:trPr>
          <w:trHeight w:val="624"/>
        </w:trPr>
        <w:tc>
          <w:tcPr>
            <w:tcW w:w="1129" w:type="dxa"/>
            <w:vMerge/>
            <w:vAlign w:val="center"/>
            <w:hideMark/>
          </w:tcPr>
          <w:p w:rsidR="00CB1E55" w:rsidRPr="00D60728" w:rsidRDefault="00CB1E55" w:rsidP="00BF7DCC">
            <w:pPr>
              <w:spacing w:line="240" w:lineRule="auto"/>
              <w:jc w:val="left"/>
              <w:rPr>
                <w:rFonts w:ascii="Times New Roman" w:hAnsi="Times New Roman"/>
                <w:sz w:val="20"/>
                <w:szCs w:val="20"/>
              </w:rPr>
            </w:pPr>
          </w:p>
        </w:tc>
        <w:tc>
          <w:tcPr>
            <w:tcW w:w="1418" w:type="dxa"/>
            <w:vAlign w:val="center"/>
            <w:hideMark/>
          </w:tcPr>
          <w:p w:rsidR="00CB1E55" w:rsidRPr="00D60728" w:rsidRDefault="00CB1E55"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CB1E55" w:rsidRPr="00D60728" w:rsidRDefault="00CB1E55" w:rsidP="00BF7DCC">
            <w:pPr>
              <w:spacing w:line="240" w:lineRule="auto"/>
              <w:rPr>
                <w:rFonts w:ascii="Times New Roman" w:hAnsi="Times New Roman"/>
                <w:i/>
                <w:iCs/>
                <w:sz w:val="20"/>
                <w:szCs w:val="20"/>
              </w:rPr>
            </w:pPr>
            <w:r w:rsidRPr="00D60728">
              <w:rPr>
                <w:rFonts w:ascii="Times New Roman" w:hAnsi="Times New Roman"/>
                <w:i/>
                <w:iCs/>
                <w:sz w:val="20"/>
                <w:szCs w:val="20"/>
              </w:rPr>
              <w:t>MGIPU</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ListParagraph"/>
              <w:numPr>
                <w:ilvl w:val="0"/>
                <w:numId w:val="32"/>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Ukupna investicija (kn): 13,674 milijardi</w:t>
            </w:r>
          </w:p>
          <w:p w:rsidR="00853EA3" w:rsidRPr="00D60728" w:rsidRDefault="00853EA3" w:rsidP="00BF7DCC">
            <w:pPr>
              <w:pStyle w:val="ListParagraph"/>
              <w:numPr>
                <w:ilvl w:val="0"/>
                <w:numId w:val="32"/>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Trošak održavanja (kn): 5,066 milijarde</w:t>
            </w:r>
          </w:p>
          <w:p w:rsidR="00853EA3" w:rsidRPr="00D60728" w:rsidRDefault="00853EA3" w:rsidP="00BF7DCC">
            <w:pPr>
              <w:pStyle w:val="ListParagraph"/>
              <w:numPr>
                <w:ilvl w:val="0"/>
                <w:numId w:val="32"/>
              </w:numPr>
              <w:spacing w:line="240" w:lineRule="auto"/>
              <w:ind w:left="284" w:hanging="284"/>
              <w:jc w:val="left"/>
              <w:rPr>
                <w:rFonts w:ascii="Times New Roman" w:hAnsi="Times New Roman"/>
                <w:i/>
                <w:iCs/>
                <w:sz w:val="20"/>
                <w:szCs w:val="20"/>
              </w:rPr>
            </w:pPr>
            <w:r w:rsidRPr="00D60728">
              <w:rPr>
                <w:rFonts w:ascii="Times New Roman" w:hAnsi="Times New Roman"/>
                <w:b/>
                <w:i/>
                <w:iCs/>
                <w:sz w:val="20"/>
                <w:szCs w:val="20"/>
              </w:rPr>
              <w:t>Izvori financiranja</w:t>
            </w:r>
            <w:r w:rsidRPr="00D60728">
              <w:rPr>
                <w:rFonts w:ascii="Times New Roman" w:hAnsi="Times New Roman"/>
                <w:i/>
                <w:iCs/>
                <w:sz w:val="20"/>
                <w:szCs w:val="20"/>
              </w:rPr>
              <w:t>: EU fondovi i sredstva prikupljena kroz spomeničku rentu</w:t>
            </w:r>
          </w:p>
          <w:p w:rsidR="00853EA3" w:rsidRPr="00D60728" w:rsidRDefault="00853EA3" w:rsidP="00BF7DCC">
            <w:pPr>
              <w:pStyle w:val="ListParagraph"/>
              <w:numPr>
                <w:ilvl w:val="0"/>
                <w:numId w:val="32"/>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lastRenderedPageBreak/>
              <w:t>S obzirom na ukupne investicijske potrebe, ukupne potrebne investicije iznose oko 1,37 milijardi kn godišnje tijekom perioda od 2021. do 2030. godine, od čega bi potrebno sufinanciranje iznosilo 1,02 milijardi kn. S obzirom da se na godišnjoj razini od spomeničke rente prikupi oko 100 milijuna kn, preostali iznos od oko 920 milijuna kn na godišnjoj razini potrebno je osigurati iz Fondova EU.</w:t>
            </w:r>
          </w:p>
        </w:tc>
      </w:tr>
      <w:tr w:rsidR="00BF6F97" w:rsidRPr="00D60728" w:rsidTr="00574FEC">
        <w:trPr>
          <w:trHeight w:val="1474"/>
        </w:trPr>
        <w:tc>
          <w:tcPr>
            <w:tcW w:w="1129" w:type="dxa"/>
            <w:vMerge w:val="restart"/>
            <w:vAlign w:val="center"/>
            <w:hideMark/>
          </w:tcPr>
          <w:p w:rsidR="00BF6F97" w:rsidRPr="00D60728" w:rsidRDefault="00BF6F97" w:rsidP="00BF7DCC">
            <w:pPr>
              <w:spacing w:line="240" w:lineRule="auto"/>
              <w:jc w:val="left"/>
              <w:rPr>
                <w:rFonts w:ascii="Times New Roman" w:hAnsi="Times New Roman"/>
                <w:sz w:val="20"/>
                <w:szCs w:val="20"/>
              </w:rPr>
            </w:pPr>
            <w:r w:rsidRPr="00D60728">
              <w:rPr>
                <w:rFonts w:ascii="Times New Roman" w:hAnsi="Times New Roman"/>
                <w:sz w:val="20"/>
                <w:szCs w:val="20"/>
              </w:rPr>
              <w:lastRenderedPageBreak/>
              <w:t>Praćenje provedbe</w:t>
            </w:r>
          </w:p>
        </w:tc>
        <w:tc>
          <w:tcPr>
            <w:tcW w:w="1418" w:type="dxa"/>
            <w:vAlign w:val="center"/>
          </w:tcPr>
          <w:p w:rsidR="00BF6F97" w:rsidRPr="00D60728" w:rsidRDefault="00BF6F97"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BF6F97" w:rsidRPr="00D60728" w:rsidRDefault="00BF6F97"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emisija CO2 (kt): 709,02</w:t>
            </w:r>
          </w:p>
          <w:p w:rsidR="00BF6F97" w:rsidRPr="00D60728" w:rsidRDefault="00BF6F97"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Prosječna godišnja stopa obnove (%): 3,5</w:t>
            </w:r>
          </w:p>
          <w:p w:rsidR="00BF6F97" w:rsidRPr="00D60728" w:rsidRDefault="00BF6F97"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Ukupno obnovljena površina (m2): 8.975.943</w:t>
            </w:r>
          </w:p>
          <w:p w:rsidR="00BF6F97" w:rsidRPr="00D60728" w:rsidRDefault="00BF6F97"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Energetska ušteda (GWh): 5 073 234,38</w:t>
            </w:r>
          </w:p>
          <w:p w:rsidR="00BF6F97" w:rsidRPr="00D60728" w:rsidRDefault="00BF6F97"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Financijska ušteda (kn): 1,393 milijarde</w:t>
            </w:r>
          </w:p>
        </w:tc>
      </w:tr>
      <w:tr w:rsidR="00BF6F97" w:rsidRPr="00D60728" w:rsidTr="00574FEC">
        <w:trPr>
          <w:trHeight w:val="1120"/>
        </w:trPr>
        <w:tc>
          <w:tcPr>
            <w:tcW w:w="1129" w:type="dxa"/>
            <w:vMerge/>
            <w:vAlign w:val="center"/>
            <w:hideMark/>
          </w:tcPr>
          <w:p w:rsidR="00BF6F97" w:rsidRPr="00D60728" w:rsidRDefault="00BF6F97" w:rsidP="00BF7DCC">
            <w:pPr>
              <w:spacing w:line="240" w:lineRule="auto"/>
              <w:jc w:val="left"/>
              <w:rPr>
                <w:rFonts w:ascii="Times New Roman" w:hAnsi="Times New Roman"/>
                <w:sz w:val="20"/>
                <w:szCs w:val="20"/>
              </w:rPr>
            </w:pPr>
          </w:p>
        </w:tc>
        <w:tc>
          <w:tcPr>
            <w:tcW w:w="1418" w:type="dxa"/>
            <w:vAlign w:val="center"/>
          </w:tcPr>
          <w:p w:rsidR="00BF6F97" w:rsidRPr="00D60728" w:rsidRDefault="00BF6F97"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shd w:val="clear" w:color="auto" w:fill="auto"/>
            <w:vAlign w:val="center"/>
          </w:tcPr>
          <w:p w:rsidR="00BF6F97" w:rsidRPr="00D60728" w:rsidRDefault="00CD2A82" w:rsidP="00BF7DCC">
            <w:pPr>
              <w:pStyle w:val="ListParagraph"/>
              <w:numPr>
                <w:ilvl w:val="0"/>
                <w:numId w:val="31"/>
              </w:numPr>
              <w:spacing w:line="240" w:lineRule="auto"/>
              <w:ind w:left="279" w:hanging="283"/>
              <w:contextualSpacing w:val="0"/>
              <w:jc w:val="left"/>
              <w:rPr>
                <w:rFonts w:ascii="Times New Roman" w:hAnsi="Times New Roman"/>
                <w:i/>
                <w:sz w:val="20"/>
                <w:szCs w:val="20"/>
              </w:rPr>
            </w:pPr>
            <w:r w:rsidRPr="00D60728">
              <w:rPr>
                <w:rFonts w:ascii="Times New Roman" w:hAnsi="Times New Roman"/>
                <w:i/>
                <w:sz w:val="20"/>
                <w:szCs w:val="20"/>
              </w:rPr>
              <w:t>Sustav za praćenje, mjerenje i verifikaciju ušteda energije (SMiV)</w:t>
            </w:r>
          </w:p>
        </w:tc>
      </w:tr>
    </w:tbl>
    <w:p w:rsidR="00853EA3" w:rsidRPr="00D60728" w:rsidRDefault="00853EA3" w:rsidP="00BF7DCC">
      <w:pPr>
        <w:spacing w:line="240" w:lineRule="auto"/>
        <w:rPr>
          <w:sz w:val="20"/>
          <w:szCs w:val="20"/>
        </w:rPr>
      </w:pPr>
    </w:p>
    <w:p w:rsidR="00224FF0" w:rsidRPr="00D60728" w:rsidRDefault="00224FF0"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853EA3" w:rsidRPr="00707212" w:rsidTr="00574FEC">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562A60">
              <w:rPr>
                <w:rFonts w:ascii="Times New Roman" w:hAnsi="Times New Roman"/>
                <w:b/>
                <w:i/>
                <w:iCs/>
                <w:highlight w:val="yellow"/>
              </w:rPr>
              <w:t>Program energetske obnove javne rasvjete</w:t>
            </w:r>
          </w:p>
        </w:tc>
      </w:tr>
      <w:tr w:rsidR="00853EA3" w:rsidRPr="00D60728" w:rsidTr="00574FEC">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MEN-6</w:t>
            </w:r>
          </w:p>
        </w:tc>
      </w:tr>
      <w:tr w:rsidR="00853EA3" w:rsidRPr="00D60728" w:rsidTr="00574FEC">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 energetske usluge</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574FEC"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r w:rsidR="00853EA3" w:rsidRPr="00D60728">
              <w:rPr>
                <w:rFonts w:ascii="Times New Roman" w:hAnsi="Times New Roman"/>
                <w:i/>
                <w:iCs/>
                <w:sz w:val="20"/>
                <w:szCs w:val="20"/>
              </w:rPr>
              <w:t>.</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574FEC" w:rsidRPr="00D60728">
              <w:rPr>
                <w:rFonts w:ascii="Times New Roman" w:hAnsi="Times New Roman"/>
                <w:i/>
                <w:iCs/>
                <w:sz w:val="20"/>
                <w:szCs w:val="20"/>
              </w:rPr>
              <w:t>24</w:t>
            </w:r>
            <w:r w:rsidRPr="00D60728">
              <w:rPr>
                <w:rFonts w:ascii="Times New Roman" w:hAnsi="Times New Roman"/>
                <w:i/>
                <w:iCs/>
                <w:sz w:val="20"/>
                <w:szCs w:val="20"/>
              </w:rPr>
              <w:t>.</w:t>
            </w:r>
          </w:p>
        </w:tc>
      </w:tr>
      <w:tr w:rsidR="00224FF0" w:rsidRPr="00D60728" w:rsidTr="00707212">
        <w:trPr>
          <w:trHeight w:val="6644"/>
        </w:trPr>
        <w:tc>
          <w:tcPr>
            <w:tcW w:w="1129" w:type="dxa"/>
            <w:vMerge/>
            <w:vAlign w:val="center"/>
            <w:hideMark/>
          </w:tcPr>
          <w:p w:rsidR="00224FF0" w:rsidRPr="00D60728" w:rsidRDefault="00224FF0" w:rsidP="00BF7DCC">
            <w:pPr>
              <w:spacing w:line="240" w:lineRule="auto"/>
              <w:jc w:val="left"/>
              <w:rPr>
                <w:rFonts w:ascii="Times New Roman" w:hAnsi="Times New Roman"/>
                <w:sz w:val="20"/>
                <w:szCs w:val="20"/>
              </w:rPr>
            </w:pPr>
          </w:p>
        </w:tc>
        <w:tc>
          <w:tcPr>
            <w:tcW w:w="1418" w:type="dxa"/>
            <w:vAlign w:val="center"/>
          </w:tcPr>
          <w:p w:rsidR="00224FF0" w:rsidRPr="00D60728" w:rsidRDefault="00224FF0"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224FF0" w:rsidRPr="00D60728" w:rsidRDefault="00224FF0" w:rsidP="00BF7DCC">
            <w:pPr>
              <w:spacing w:line="240" w:lineRule="auto"/>
              <w:rPr>
                <w:rFonts w:ascii="Times New Roman" w:hAnsi="Times New Roman"/>
                <w:i/>
                <w:iCs/>
                <w:sz w:val="20"/>
                <w:szCs w:val="20"/>
              </w:rPr>
            </w:pPr>
            <w:r w:rsidRPr="00D60728">
              <w:rPr>
                <w:rFonts w:ascii="Times New Roman" w:hAnsi="Times New Roman"/>
                <w:i/>
                <w:iCs/>
                <w:sz w:val="20"/>
                <w:szCs w:val="20"/>
              </w:rPr>
              <w:t>Energetska obnova javne rasvjete u Republici Hrvatskoj trenutno se provodi se korištenjem ESI sredstava iz Europskog fonda za regionalni razvoj i to korištenjem financijskog instrumenta kredita s povoljnim kamatnim stopama kojega JLP(R)S-ima nudi HBOR . U tu svrhu raspoloživo je 152 milijuna kn, a kreditom se pokriva do 100% prihvatljivih troškova projekta. Predviđa se da će se ova financijska alokacija iskoristiti do 2020. godine, a najkasnije do 2023. godine. Procijenjene uštede ove prve faze Programa su oko 15 GWh u 2020. (2023.) godini. S obzirom na značajan potencijal koji postoji u sustavima javne rasvjete, planira se korištenje ESI fondova i u sljedećem programskom razdoblju 2021.-2027. godine. Programiranjem veće alokacije sredstava za ovu svrhu, mogao bi se iskoristiti postojeći potencijal do kraja 2030. godine, koji je procijenjen na oko 225 – 280 GWh. Istodobno, obnovom javne rasvjete ostvarilo bi se zadovoljavanje tehničkih normi za rasvijetljenost prometnica, što znači da bi se poboljšala sigurnost prometa te bi se smanjilo svjetlosno onečišćenje. Modeli financiranja koji će se koristiti u sljedećem razdoblju trebaju omogućiti i mobilizaciju privatnog kapitala putem energetske usluge ili javno-privatnog partnerstva, kako bi se postigao što bolji multiplikacijski efekt. Modeli koje treba razmotriti uključuju subvencije kamatne stope na komercijalne kredite / zahtijevanog prinosa pružatelju usluge i garancije, a za projekte koji zahtijevaju investiciju u novu infrastrukturu javne rasvjete (stupove, dodatne svjetiljke i slično) radi zadovoljavanja normiranih svjetlotehničkih zahtjeva nužno je osigurati bespovratna sredstva. Pretpostavljeno je da će se do kraja 2030.godine ostvariti sav procijenjeni potencijal za poboljšanje energetske učinkovitosti sustava javne rasvjete pa je pretpostavljena godišnja ušteda električne energije od 25 GWh (0,90 PJ; 2,15 ktoe) (napomena: ciljevi, uvjeti i aktivnosti dani u ovom dokumentu su okvirni, a detaljno će se utvrditi u samom Programu energetske obnove zgrada javnog sektora za razdoblje od 2021. do 2030.).</w:t>
            </w:r>
          </w:p>
        </w:tc>
      </w:tr>
      <w:tr w:rsidR="00853EA3" w:rsidRPr="00D60728" w:rsidTr="00574FEC">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lastRenderedPageBreak/>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Tijekom 2020. godine MZOE će izraditi Program energetske obnove sustava javne rasvjete za razdoblje od 2021. do 2030. godine, kojega usvaja Vlada, a koji je temelj za korištenje sredstava ESI fondova u programskom razdoblju od 2021. do 2027. godine;</w:t>
            </w:r>
          </w:p>
          <w:p w:rsidR="00853EA3" w:rsidRPr="00D60728" w:rsidRDefault="00853EA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Sama provedba Programa treba započeti u 2021. godini primjenom odabranog modela financiranja, koji uključuje energetske usluge i javno-privatno partnerstvo i usklađen je s pravilima korištenja ESI fondova.</w:t>
            </w:r>
          </w:p>
        </w:tc>
      </w:tr>
      <w:tr w:rsidR="00224FF0" w:rsidRPr="00D60728" w:rsidTr="00574FEC">
        <w:trPr>
          <w:trHeight w:val="624"/>
        </w:trPr>
        <w:tc>
          <w:tcPr>
            <w:tcW w:w="1129" w:type="dxa"/>
            <w:vMerge/>
            <w:vAlign w:val="center"/>
            <w:hideMark/>
          </w:tcPr>
          <w:p w:rsidR="00224FF0" w:rsidRPr="00D60728" w:rsidRDefault="00224FF0" w:rsidP="00BF7DCC">
            <w:pPr>
              <w:spacing w:line="240" w:lineRule="auto"/>
              <w:jc w:val="left"/>
              <w:rPr>
                <w:rFonts w:ascii="Times New Roman" w:hAnsi="Times New Roman"/>
                <w:sz w:val="20"/>
                <w:szCs w:val="20"/>
              </w:rPr>
            </w:pPr>
          </w:p>
        </w:tc>
        <w:tc>
          <w:tcPr>
            <w:tcW w:w="1418" w:type="dxa"/>
            <w:vAlign w:val="center"/>
            <w:hideMark/>
          </w:tcPr>
          <w:p w:rsidR="00224FF0" w:rsidRPr="00D60728" w:rsidRDefault="00224FF0"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224FF0" w:rsidRPr="00D60728" w:rsidRDefault="00224FF0"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Procijenjeni investicijski trošak u razdoblju 2021.-2030 je 2,88 milijardi kn.</w:t>
            </w:r>
          </w:p>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Potrebno je osigurati sredstava iz ESI fondova za odabrani model financiranja, poželjno subvencije kamatnih stopa komercijalnih kredita, garancije za pružatelje usluga i bespovratna sredstva za projekte koji nisu isplativi u prihvatljivom vremenskom okviru.</w:t>
            </w:r>
          </w:p>
        </w:tc>
      </w:tr>
      <w:tr w:rsidR="00224FF0" w:rsidRPr="00D60728" w:rsidTr="00574FEC">
        <w:trPr>
          <w:trHeight w:val="1814"/>
        </w:trPr>
        <w:tc>
          <w:tcPr>
            <w:tcW w:w="1129" w:type="dxa"/>
            <w:vMerge w:val="restart"/>
            <w:vAlign w:val="center"/>
            <w:hideMark/>
          </w:tcPr>
          <w:p w:rsidR="00224FF0" w:rsidRPr="00D60728" w:rsidRDefault="00224FF0"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224FF0" w:rsidRPr="00D60728" w:rsidRDefault="00224FF0"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224FF0" w:rsidRPr="00D60728" w:rsidRDefault="00224FF0"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Smanjenje potrošnje električne energije u sustavima javne rasvjete, smanjenje svjetlosnog onečišćenja; </w:t>
            </w:r>
          </w:p>
          <w:p w:rsidR="00224FF0" w:rsidRPr="00D60728" w:rsidRDefault="00224FF0"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Procijenjene uštede u 2030. 0,90 PJ (21,50 ktoe); </w:t>
            </w:r>
          </w:p>
          <w:p w:rsidR="00224FF0" w:rsidRPr="00D60728" w:rsidRDefault="00224FF0"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2030. 19,60 ktCO</w:t>
            </w:r>
            <w:r w:rsidRPr="00D60728">
              <w:rPr>
                <w:rFonts w:ascii="Times New Roman" w:hAnsi="Times New Roman"/>
                <w:i/>
                <w:iCs/>
                <w:sz w:val="20"/>
                <w:szCs w:val="20"/>
                <w:vertAlign w:val="subscript"/>
              </w:rPr>
              <w:t>2e</w:t>
            </w:r>
            <w:r w:rsidRPr="00D60728">
              <w:rPr>
                <w:rFonts w:ascii="Times New Roman" w:hAnsi="Times New Roman"/>
                <w:i/>
                <w:iCs/>
                <w:sz w:val="20"/>
                <w:szCs w:val="20"/>
              </w:rPr>
              <w:t xml:space="preserve">; </w:t>
            </w:r>
          </w:p>
          <w:p w:rsidR="00224FF0" w:rsidRPr="00D60728" w:rsidRDefault="00224FF0"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Kumulativne uštede energije u razdoblju 2021.-2030. 4,95 PJ (118,25 ktoe); </w:t>
            </w:r>
          </w:p>
          <w:p w:rsidR="00224FF0" w:rsidRPr="00D60728" w:rsidRDefault="00224FF0"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Kumulativno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razdoblju 2021.-2030. 157,95 ktCO</w:t>
            </w:r>
            <w:r w:rsidRPr="00D60728">
              <w:rPr>
                <w:rFonts w:ascii="Times New Roman" w:hAnsi="Times New Roman"/>
                <w:i/>
                <w:iCs/>
                <w:sz w:val="20"/>
                <w:szCs w:val="20"/>
                <w:vertAlign w:val="subscript"/>
              </w:rPr>
              <w:t>2e</w:t>
            </w:r>
          </w:p>
        </w:tc>
      </w:tr>
      <w:tr w:rsidR="00224FF0" w:rsidRPr="00D60728" w:rsidTr="00574FEC">
        <w:trPr>
          <w:trHeight w:val="1020"/>
        </w:trPr>
        <w:tc>
          <w:tcPr>
            <w:tcW w:w="1129" w:type="dxa"/>
            <w:vMerge/>
            <w:vAlign w:val="center"/>
            <w:hideMark/>
          </w:tcPr>
          <w:p w:rsidR="00224FF0" w:rsidRPr="00D60728" w:rsidRDefault="00224FF0" w:rsidP="00BF7DCC">
            <w:pPr>
              <w:spacing w:line="240" w:lineRule="auto"/>
              <w:jc w:val="left"/>
              <w:rPr>
                <w:rFonts w:ascii="Times New Roman" w:hAnsi="Times New Roman"/>
                <w:sz w:val="20"/>
                <w:szCs w:val="20"/>
              </w:rPr>
            </w:pPr>
          </w:p>
        </w:tc>
        <w:tc>
          <w:tcPr>
            <w:tcW w:w="1418" w:type="dxa"/>
            <w:vAlign w:val="center"/>
          </w:tcPr>
          <w:p w:rsidR="00224FF0" w:rsidRPr="00D60728" w:rsidRDefault="00224FF0"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224FF0" w:rsidRPr="00D60728" w:rsidRDefault="00224FF0"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Sustav za praćenje, mjerenje i verifikaciju ušteda energije (SMiV), metodom odozdo-prema-gore za zamjenu javne i vanjske rasvjete</w:t>
            </w:r>
          </w:p>
        </w:tc>
      </w:tr>
    </w:tbl>
    <w:p w:rsidR="00853EA3" w:rsidRPr="00D60728" w:rsidRDefault="00853EA3" w:rsidP="00BF7DCC">
      <w:pPr>
        <w:spacing w:line="240" w:lineRule="auto"/>
        <w:rPr>
          <w:sz w:val="20"/>
          <w:szCs w:val="20"/>
        </w:rPr>
      </w:pPr>
    </w:p>
    <w:p w:rsidR="00372F33" w:rsidRPr="00D60728" w:rsidRDefault="00372F33"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853EA3" w:rsidRPr="00707212" w:rsidTr="00574FEC">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562A60" w:rsidRDefault="00853EA3" w:rsidP="00BF7DCC">
            <w:pPr>
              <w:spacing w:line="240" w:lineRule="auto"/>
              <w:ind w:right="57"/>
              <w:rPr>
                <w:rFonts w:ascii="Times New Roman" w:hAnsi="Times New Roman"/>
                <w:b/>
                <w:i/>
                <w:iCs/>
                <w:highlight w:val="yellow"/>
              </w:rPr>
            </w:pPr>
            <w:r w:rsidRPr="00562A60">
              <w:rPr>
                <w:rFonts w:ascii="Times New Roman" w:hAnsi="Times New Roman"/>
                <w:b/>
                <w:i/>
                <w:iCs/>
                <w:highlight w:val="yellow"/>
              </w:rPr>
              <w:t>Sustavno gospodarenje energijom u javnom sektoru</w:t>
            </w:r>
          </w:p>
        </w:tc>
      </w:tr>
      <w:tr w:rsidR="00853EA3" w:rsidRPr="00D60728" w:rsidTr="00574FEC">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MEN-7</w:t>
            </w:r>
          </w:p>
        </w:tc>
      </w:tr>
      <w:tr w:rsidR="00853EA3" w:rsidRPr="00D60728" w:rsidTr="00574FEC">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574FEC"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w:t>
            </w:r>
            <w:r w:rsidR="00853EA3" w:rsidRPr="00D60728">
              <w:rPr>
                <w:rFonts w:ascii="Times New Roman" w:hAnsi="Times New Roman"/>
                <w:i/>
                <w:iCs/>
                <w:sz w:val="20"/>
                <w:szCs w:val="20"/>
              </w:rPr>
              <w:t xml:space="preserve"> mjera</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574FEC" w:rsidRPr="00D60728">
              <w:rPr>
                <w:rFonts w:ascii="Times New Roman" w:hAnsi="Times New Roman"/>
                <w:i/>
                <w:iCs/>
                <w:sz w:val="20"/>
                <w:szCs w:val="20"/>
              </w:rPr>
              <w:t>20</w:t>
            </w:r>
            <w:r w:rsidRPr="00D60728">
              <w:rPr>
                <w:rFonts w:ascii="Times New Roman" w:hAnsi="Times New Roman"/>
                <w:i/>
                <w:iCs/>
                <w:sz w:val="20"/>
                <w:szCs w:val="20"/>
              </w:rPr>
              <w:t>.</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574FEC"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r w:rsidR="00853EA3" w:rsidRPr="00D60728">
              <w:rPr>
                <w:rFonts w:ascii="Times New Roman" w:hAnsi="Times New Roman"/>
                <w:i/>
                <w:iCs/>
                <w:sz w:val="20"/>
                <w:szCs w:val="20"/>
              </w:rPr>
              <w:t>.</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Obuhvatiti i redovno pratiti ISGE-om sve zgrade javnog sektora i sustave javne rasvjete do kraja 2030. godine</w:t>
            </w:r>
          </w:p>
        </w:tc>
      </w:tr>
      <w:tr w:rsidR="006717B8" w:rsidRPr="00D60728" w:rsidTr="006717B8">
        <w:trPr>
          <w:trHeight w:val="2608"/>
        </w:trPr>
        <w:tc>
          <w:tcPr>
            <w:tcW w:w="1129" w:type="dxa"/>
            <w:vMerge/>
            <w:vAlign w:val="center"/>
          </w:tcPr>
          <w:p w:rsidR="006717B8" w:rsidRPr="00D60728" w:rsidRDefault="006717B8" w:rsidP="00BF7DCC">
            <w:pPr>
              <w:spacing w:line="240" w:lineRule="auto"/>
              <w:jc w:val="left"/>
              <w:rPr>
                <w:rFonts w:ascii="Times New Roman" w:hAnsi="Times New Roman"/>
                <w:sz w:val="20"/>
                <w:szCs w:val="20"/>
              </w:rPr>
            </w:pPr>
          </w:p>
        </w:tc>
        <w:tc>
          <w:tcPr>
            <w:tcW w:w="1418" w:type="dxa"/>
            <w:vAlign w:val="center"/>
          </w:tcPr>
          <w:p w:rsidR="006717B8" w:rsidRPr="00D60728" w:rsidRDefault="006717B8" w:rsidP="00BF7DCC">
            <w:pPr>
              <w:spacing w:line="240" w:lineRule="auto"/>
              <w:jc w:val="left"/>
              <w:rPr>
                <w:rFonts w:ascii="Times New Roman" w:hAnsi="Times New Roman"/>
                <w:sz w:val="20"/>
                <w:szCs w:val="20"/>
              </w:rPr>
            </w:pPr>
            <w:r w:rsidRPr="00D60728">
              <w:rPr>
                <w:rFonts w:ascii="Times New Roman" w:hAnsi="Times New Roman"/>
                <w:sz w:val="20"/>
                <w:szCs w:val="20"/>
              </w:rPr>
              <w:t>Opis</w:t>
            </w:r>
          </w:p>
          <w:p w:rsidR="006717B8" w:rsidRPr="00D60728" w:rsidRDefault="006717B8" w:rsidP="00BF7DCC">
            <w:pPr>
              <w:spacing w:line="240" w:lineRule="auto"/>
              <w:jc w:val="left"/>
              <w:rPr>
                <w:rFonts w:ascii="Times New Roman" w:hAnsi="Times New Roman"/>
                <w:sz w:val="20"/>
                <w:szCs w:val="20"/>
              </w:rPr>
            </w:pPr>
            <w:r w:rsidRPr="00D60728">
              <w:rPr>
                <w:rFonts w:ascii="Times New Roman" w:hAnsi="Times New Roman"/>
                <w:sz w:val="20"/>
                <w:szCs w:val="20"/>
              </w:rPr>
              <w:t>Ciljna skupina</w:t>
            </w:r>
          </w:p>
        </w:tc>
        <w:tc>
          <w:tcPr>
            <w:tcW w:w="6628" w:type="dxa"/>
            <w:vAlign w:val="center"/>
          </w:tcPr>
          <w:p w:rsidR="006717B8" w:rsidRPr="00D60728" w:rsidRDefault="006717B8" w:rsidP="00BF7DCC">
            <w:pPr>
              <w:spacing w:line="240" w:lineRule="auto"/>
              <w:rPr>
                <w:rFonts w:ascii="Times New Roman" w:hAnsi="Times New Roman"/>
                <w:i/>
                <w:iCs/>
                <w:sz w:val="20"/>
                <w:szCs w:val="20"/>
              </w:rPr>
            </w:pPr>
            <w:r w:rsidRPr="00D60728">
              <w:rPr>
                <w:rFonts w:ascii="Times New Roman" w:hAnsi="Times New Roman"/>
                <w:i/>
                <w:iCs/>
                <w:sz w:val="20"/>
                <w:szCs w:val="20"/>
              </w:rPr>
              <w:t>Javni sektor u Hrvatskoj obvezan je sustavno gospodariti energijom, što je posebno propisano Zakonom o energetskoj učinkovitosti odnosno Pravilnikom o sustavnom gospodarenju energijom (NN 18/15, 06/16). Temelj mjere je informacijski sustav za gospodarenje energijom (ISGE). Uštede temeljene na aktivnostima sustavnog gospodarenja energijom i uvođenja daljinskog mjerenja u prethodnom razdoblju su utvrđene na oko 335 TJ godišnje (prema 4.NAPEnU). S obzirom da se na ovoj mjeri radi sustavno od 2014. godine, pretpostavljeni potencijal za uštede je smanjen na 100 TJ godišnje radi konzervativnosti procjene.</w:t>
            </w:r>
          </w:p>
        </w:tc>
      </w:tr>
      <w:tr w:rsidR="00853EA3" w:rsidRPr="00D60728" w:rsidTr="00574FEC">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6717B8" w:rsidP="00BF7DCC">
            <w:pPr>
              <w:pStyle w:val="ListParagraph"/>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 xml:space="preserve">u </w:t>
            </w:r>
            <w:r w:rsidR="00853EA3" w:rsidRPr="00D60728">
              <w:rPr>
                <w:rFonts w:ascii="Times New Roman" w:hAnsi="Times New Roman"/>
                <w:i/>
                <w:sz w:val="20"/>
                <w:szCs w:val="20"/>
              </w:rPr>
              <w:t xml:space="preserve">razdoblju do 2021. godine provodit će se automatizacija prikupljanja podataka o potrošnji energenata i vode (daljinsko očitanje), povezivanje ISGE-a sa sustavima dobavljača energenata i vode, edukacija energetskih suradnika i savjetnika zaduženih za gospodarenje energijom u svojim zgradama te daljnji razvoj i unaprjeđenje ISGE-a. Naglasak će biti na razvoju modula za praćenje i verificiranje ostvarenih ušteda nastalih po </w:t>
            </w:r>
            <w:r w:rsidR="00853EA3" w:rsidRPr="00D60728">
              <w:rPr>
                <w:rFonts w:ascii="Times New Roman" w:hAnsi="Times New Roman"/>
                <w:i/>
                <w:sz w:val="20"/>
                <w:szCs w:val="20"/>
              </w:rPr>
              <w:lastRenderedPageBreak/>
              <w:t>energetskoj obnovi kao i ispunjenja zadanog režima korištenja zgrade u svrhu postizanja i održavanja razine ugode. Ciljevi su: daljinskim očitanje do 2020. godine obuhvatiti sve lokacije unutar javnog sektora čija je potrošnje energije i vode veća od 400.000,00 kn/god, spojiti baze podatka opskrbljivača s bazom ISGE-a u svrhu automatskog prikupljanja podataka te spojiti ISGE sa svim relevantnim bazama energetskih podataka. Dodatno se do 2021. godine planira provedba mjera koje uključuju: analizu potencijala i optimizaciju ugovaranja vršne električne snage, smanjenje prekomjerno preuzete jalove energije te analizu potencijala i optimizaciju ugovaranja toplinske snage.</w:t>
            </w:r>
          </w:p>
          <w:p w:rsidR="00853EA3" w:rsidRPr="00D60728" w:rsidRDefault="006717B8"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u</w:t>
            </w:r>
            <w:r w:rsidR="00853EA3" w:rsidRPr="00D60728">
              <w:rPr>
                <w:rFonts w:ascii="Times New Roman" w:hAnsi="Times New Roman"/>
                <w:i/>
                <w:sz w:val="20"/>
                <w:szCs w:val="20"/>
              </w:rPr>
              <w:t xml:space="preserve"> razdoblju od 2021. do 2030. godine planira se u svim objektima javnog sektora uvesti sustav gospodarenja energijom te primjena ISGE-a te unaprijediti i proširiti cijeli sustav kroz sljedeće aktivnosti:</w:t>
            </w:r>
          </w:p>
          <w:p w:rsidR="00853EA3" w:rsidRPr="00D60728" w:rsidRDefault="006717B8"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o</w:t>
            </w:r>
            <w:r w:rsidR="00853EA3" w:rsidRPr="00D60728">
              <w:rPr>
                <w:rFonts w:ascii="Times New Roman" w:hAnsi="Times New Roman"/>
                <w:i/>
                <w:sz w:val="20"/>
                <w:szCs w:val="20"/>
              </w:rPr>
              <w:t>bjediniti sve instalirane sustave daljinskog očitanja u ISGE;</w:t>
            </w:r>
          </w:p>
          <w:p w:rsidR="00853EA3" w:rsidRPr="00D60728" w:rsidRDefault="00853EA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Integrirati ISGE s ostalim bazama: DGU (Geoportal Državne geodetske uprave), katastar, registar zaštićenih objekata, IEC, SMIV i dr.);</w:t>
            </w:r>
          </w:p>
          <w:p w:rsidR="00853EA3" w:rsidRPr="00D60728" w:rsidRDefault="00853EA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Propisati ISGE kao sustav za verifikaciju stvarnih ušteda nastalih nakon obnove zgrade (definirati koje podatke senzori u prostorijama šalju u sustav, ISGE je već spreman primati podatke) te izraditi metodologiju izračuna i verifikacije stvarnih ušteda nastalih nakon obnove zgrade uzimajući u obzir zadovoljavanje zadanog režima korištenja zgrade;</w:t>
            </w:r>
          </w:p>
          <w:p w:rsidR="00853EA3" w:rsidRPr="00D60728" w:rsidRDefault="00853EA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Širenje upotrebe ISGE-a u sve sektore (privatni, industrijski...) na dobrovoljnoj bazi i/ili kao obveza vezana uz primitak financijske pomoći za obnovu odnosno provedbu mjera energetske učinkovitosti;</w:t>
            </w:r>
          </w:p>
          <w:p w:rsidR="00853EA3" w:rsidRPr="00D60728" w:rsidRDefault="00853EA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Unaprjeđenje ISGE-a tako da je njime moguće provesti financijske analize isplativosti obnove na temelju stvarnih podataka;</w:t>
            </w:r>
          </w:p>
          <w:p w:rsidR="00853EA3" w:rsidRPr="00D60728" w:rsidRDefault="00853EA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Razvoj ISGE-a u smjeru tzv. umjetne inteligencije, pri čemu bi sustav prema unesenim parametrima sam predlagao mjere u svrhu povećanja energetske učinkovitosti;</w:t>
            </w:r>
          </w:p>
          <w:p w:rsidR="00853EA3" w:rsidRPr="00D60728" w:rsidRDefault="00853EA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Uvođenje mjernih uređaja/senzora za mjerenje unutrašnje temperature i kvalitete zraka u zgrade javne namjene i povezivanje s ISGE.</w:t>
            </w:r>
          </w:p>
        </w:tc>
      </w:tr>
      <w:tr w:rsidR="00E86C79" w:rsidRPr="00D60728" w:rsidTr="00E86C79">
        <w:trPr>
          <w:trHeight w:val="624"/>
        </w:trPr>
        <w:tc>
          <w:tcPr>
            <w:tcW w:w="1129" w:type="dxa"/>
            <w:vMerge/>
            <w:vAlign w:val="center"/>
            <w:hideMark/>
          </w:tcPr>
          <w:p w:rsidR="00E86C79" w:rsidRPr="00D60728" w:rsidRDefault="00E86C79" w:rsidP="00BF7DCC">
            <w:pPr>
              <w:spacing w:line="240" w:lineRule="auto"/>
              <w:jc w:val="left"/>
              <w:rPr>
                <w:rFonts w:ascii="Times New Roman" w:hAnsi="Times New Roman"/>
                <w:sz w:val="20"/>
                <w:szCs w:val="20"/>
              </w:rPr>
            </w:pPr>
          </w:p>
        </w:tc>
        <w:tc>
          <w:tcPr>
            <w:tcW w:w="1418" w:type="dxa"/>
            <w:vAlign w:val="center"/>
            <w:hideMark/>
          </w:tcPr>
          <w:p w:rsidR="00E86C79" w:rsidRPr="00D60728" w:rsidRDefault="00E86C79"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E86C79" w:rsidRPr="00D60728" w:rsidRDefault="00E86C79" w:rsidP="00BF7DCC">
            <w:pPr>
              <w:spacing w:line="240" w:lineRule="auto"/>
              <w:rPr>
                <w:rFonts w:ascii="Times New Roman" w:hAnsi="Times New Roman"/>
                <w:i/>
                <w:iCs/>
                <w:sz w:val="20"/>
                <w:szCs w:val="20"/>
              </w:rPr>
            </w:pPr>
            <w:r w:rsidRPr="00D60728">
              <w:rPr>
                <w:rFonts w:ascii="Times New Roman" w:hAnsi="Times New Roman"/>
                <w:i/>
                <w:iCs/>
                <w:sz w:val="20"/>
                <w:szCs w:val="20"/>
              </w:rPr>
              <w:t>APN</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Sredstva potrebna za provedbu svih predviđenih aktivnosti planira APN u sklopu svojih redovnih aktivnosti i proračuna</w:t>
            </w:r>
          </w:p>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(APN)</w:t>
            </w:r>
          </w:p>
        </w:tc>
      </w:tr>
      <w:tr w:rsidR="00081C4B" w:rsidRPr="00D60728" w:rsidTr="00081C4B">
        <w:trPr>
          <w:trHeight w:val="1814"/>
        </w:trPr>
        <w:tc>
          <w:tcPr>
            <w:tcW w:w="1129" w:type="dxa"/>
            <w:vMerge w:val="restart"/>
            <w:vAlign w:val="center"/>
            <w:hideMark/>
          </w:tcPr>
          <w:p w:rsidR="00081C4B" w:rsidRPr="00D60728" w:rsidRDefault="00081C4B"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081C4B" w:rsidRPr="00D60728" w:rsidRDefault="00081C4B"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081C4B" w:rsidRPr="00D60728" w:rsidRDefault="00081C4B"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Smanjenje potrošnje energije u javnim zgradama; promjene navika i ponašanja korisnika zgrada javnog sektora; </w:t>
            </w:r>
          </w:p>
          <w:p w:rsidR="00081C4B" w:rsidRPr="00D60728" w:rsidRDefault="00081C4B"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Procijenjene uštede u 2030. 0,20 PJ (4,78 ktoe); </w:t>
            </w:r>
          </w:p>
          <w:p w:rsidR="00081C4B" w:rsidRPr="00D60728" w:rsidRDefault="00081C4B"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2030. 5,50 ktCO</w:t>
            </w:r>
            <w:r w:rsidRPr="00D60728">
              <w:rPr>
                <w:rFonts w:ascii="Times New Roman" w:hAnsi="Times New Roman"/>
                <w:i/>
                <w:iCs/>
                <w:sz w:val="20"/>
                <w:szCs w:val="20"/>
                <w:vertAlign w:val="subscript"/>
              </w:rPr>
              <w:t>2e</w:t>
            </w:r>
            <w:r w:rsidRPr="00D60728">
              <w:rPr>
                <w:rFonts w:ascii="Times New Roman" w:hAnsi="Times New Roman"/>
                <w:i/>
                <w:iCs/>
                <w:sz w:val="20"/>
                <w:szCs w:val="20"/>
              </w:rPr>
              <w:t xml:space="preserve">; </w:t>
            </w:r>
          </w:p>
          <w:p w:rsidR="00081C4B" w:rsidRPr="00D60728" w:rsidRDefault="00081C4B"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Kumulativne uštede energije u razdoblju 2021.-2030. 1,90 PJ (45,41 ktoe); </w:t>
            </w:r>
          </w:p>
          <w:p w:rsidR="00081C4B" w:rsidRPr="00D60728" w:rsidRDefault="00081C4B"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Kumulativno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razdoblju 2021.-2030. 54,13 ktCO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tc>
      </w:tr>
      <w:tr w:rsidR="00081C4B" w:rsidRPr="00D60728" w:rsidTr="009B6F17">
        <w:trPr>
          <w:trHeight w:val="2704"/>
        </w:trPr>
        <w:tc>
          <w:tcPr>
            <w:tcW w:w="1129" w:type="dxa"/>
            <w:vMerge/>
            <w:vAlign w:val="center"/>
            <w:hideMark/>
          </w:tcPr>
          <w:p w:rsidR="00081C4B" w:rsidRPr="00D60728" w:rsidRDefault="00081C4B" w:rsidP="00BF7DCC">
            <w:pPr>
              <w:spacing w:line="240" w:lineRule="auto"/>
              <w:jc w:val="left"/>
              <w:rPr>
                <w:rFonts w:ascii="Times New Roman" w:hAnsi="Times New Roman"/>
                <w:sz w:val="20"/>
                <w:szCs w:val="20"/>
              </w:rPr>
            </w:pPr>
          </w:p>
        </w:tc>
        <w:tc>
          <w:tcPr>
            <w:tcW w:w="1418" w:type="dxa"/>
            <w:vAlign w:val="center"/>
          </w:tcPr>
          <w:p w:rsidR="00081C4B" w:rsidRPr="00D60728" w:rsidRDefault="00081C4B"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081C4B" w:rsidRPr="00D60728" w:rsidRDefault="00081C4B"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Do sada je praćenje ostvarenih ušteda energije omogućeno ISGE sustavom osnovnim i naprednim analizama baze podataka. Ostvarene uštede temelje se na mjerenim podacima o potrošnji svih oblika energije. Sinkronizacijom baza dobivaju se provjereni podaci, a povezivanjem s mjernim sustavima dobivaju se „real-time“ podaci koji omogućuju strateško planiranje i provođenje mjera. Na temelju direktnog satnog praćenja potrošnje energije i vode putem ISGE sustava dobivaju se kvalitetni pokazatelji energetskih potreba te se prema njima može bolje planirati i raspolagati sredstvima.</w:t>
            </w:r>
          </w:p>
        </w:tc>
      </w:tr>
    </w:tbl>
    <w:p w:rsidR="00853EA3" w:rsidRPr="00D60728" w:rsidRDefault="00853EA3" w:rsidP="00BF7DCC">
      <w:pPr>
        <w:spacing w:line="240" w:lineRule="auto"/>
        <w:rPr>
          <w:sz w:val="20"/>
          <w:szCs w:val="20"/>
        </w:rPr>
      </w:pPr>
    </w:p>
    <w:p w:rsidR="00C75724" w:rsidRPr="00D60728" w:rsidRDefault="00C75724"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853EA3" w:rsidRPr="00707212" w:rsidTr="004C76BD">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Sustavno gospodarenje energijom u poslovnom (uslužnom i proizvodnom) sektoru</w:t>
            </w:r>
          </w:p>
        </w:tc>
      </w:tr>
      <w:tr w:rsidR="00853EA3" w:rsidRPr="00D60728" w:rsidTr="004C76BD">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MEN-8</w:t>
            </w:r>
          </w:p>
        </w:tc>
      </w:tr>
      <w:tr w:rsidR="00853EA3" w:rsidRPr="00D60728" w:rsidTr="004C76BD">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Fiskalna mjera</w:t>
            </w:r>
          </w:p>
        </w:tc>
      </w:tr>
      <w:tr w:rsidR="00853EA3" w:rsidRPr="00D60728" w:rsidTr="004C76BD">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4D16BC" w:rsidRPr="00D60728">
              <w:rPr>
                <w:rFonts w:ascii="Times New Roman" w:hAnsi="Times New Roman"/>
                <w:i/>
                <w:iCs/>
                <w:sz w:val="20"/>
                <w:szCs w:val="20"/>
              </w:rPr>
              <w:t>20</w:t>
            </w:r>
            <w:r w:rsidRPr="00D60728">
              <w:rPr>
                <w:rFonts w:ascii="Times New Roman" w:hAnsi="Times New Roman"/>
                <w:i/>
                <w:iCs/>
                <w:sz w:val="20"/>
                <w:szCs w:val="20"/>
              </w:rPr>
              <w:t>.</w:t>
            </w:r>
          </w:p>
        </w:tc>
      </w:tr>
      <w:tr w:rsidR="00853EA3" w:rsidRPr="00D60728" w:rsidTr="004C76BD">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4D16BC"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r w:rsidR="00853EA3" w:rsidRPr="00D60728">
              <w:rPr>
                <w:rFonts w:ascii="Times New Roman" w:hAnsi="Times New Roman"/>
                <w:i/>
                <w:iCs/>
                <w:sz w:val="20"/>
                <w:szCs w:val="20"/>
              </w:rPr>
              <w:t>.</w:t>
            </w:r>
          </w:p>
        </w:tc>
      </w:tr>
      <w:tr w:rsidR="00C75724" w:rsidRPr="00D60728" w:rsidTr="004C76BD">
        <w:trPr>
          <w:trHeight w:val="2098"/>
        </w:trPr>
        <w:tc>
          <w:tcPr>
            <w:tcW w:w="1129" w:type="dxa"/>
            <w:vMerge/>
            <w:vAlign w:val="center"/>
            <w:hideMark/>
          </w:tcPr>
          <w:p w:rsidR="00C75724" w:rsidRPr="00D60728" w:rsidRDefault="00C75724" w:rsidP="00BF7DCC">
            <w:pPr>
              <w:spacing w:line="240" w:lineRule="auto"/>
              <w:jc w:val="left"/>
              <w:rPr>
                <w:rFonts w:ascii="Times New Roman" w:hAnsi="Times New Roman"/>
                <w:sz w:val="20"/>
                <w:szCs w:val="20"/>
              </w:rPr>
            </w:pPr>
          </w:p>
        </w:tc>
        <w:tc>
          <w:tcPr>
            <w:tcW w:w="1418" w:type="dxa"/>
            <w:vAlign w:val="center"/>
          </w:tcPr>
          <w:p w:rsidR="00C75724" w:rsidRPr="00D60728" w:rsidRDefault="00C75724"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C75724" w:rsidRPr="00D60728" w:rsidRDefault="00C75724" w:rsidP="00BF7DCC">
            <w:pPr>
              <w:spacing w:line="240" w:lineRule="auto"/>
              <w:rPr>
                <w:rFonts w:ascii="Times New Roman" w:hAnsi="Times New Roman"/>
                <w:i/>
                <w:iCs/>
                <w:sz w:val="20"/>
                <w:szCs w:val="20"/>
              </w:rPr>
            </w:pPr>
            <w:r w:rsidRPr="00D60728">
              <w:rPr>
                <w:rFonts w:ascii="Times New Roman" w:hAnsi="Times New Roman"/>
                <w:i/>
                <w:iCs/>
                <w:sz w:val="20"/>
                <w:szCs w:val="20"/>
              </w:rPr>
              <w:t>Iako su velika poduzeća obvezna redovno provoditi energetske preglede, ova obveza ne osigurava kontinuiranu brigu o potrošnji energije u poduzeću niti obuhvaća mala i srednja poduzeća. Kako bi se poduzeća potaknula na uvođenje certificiranih sustava gospodarenja energijom (kao ISO 50001), do 2020. godine će se izraditi sveobuhvatna analiza mogućnosti korištenja poreznog sustava (uključujući poreze i parafiskalne namete) za poticanje poduzeća koja uvedu ovakav sustav i time osiguraju kontinuiranu brigu o potrošnji energije.</w:t>
            </w:r>
          </w:p>
        </w:tc>
      </w:tr>
      <w:tr w:rsidR="00853EA3" w:rsidRPr="00D60728" w:rsidTr="004C76BD">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MZOE u suradnji s MFIN tijekom 2020. godine izrađuje sveobuhvatnu analizu mogućnosti korištenja poreznog sustava za poticanje sustavnog gospodarenja energijom u poslovnom sektoru – za svaku predloženo rješenje potrebno je ocijeniti učinke i definirati metodu praćenja istih;</w:t>
            </w:r>
          </w:p>
          <w:p w:rsidR="00853EA3" w:rsidRPr="00D60728" w:rsidRDefault="00853EA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Preporuke analize se ugrađuju u zakone i propise vezane uz porezna rješenja koja se predlažu koristiti te počinje njihova primjena.</w:t>
            </w:r>
          </w:p>
        </w:tc>
      </w:tr>
      <w:tr w:rsidR="00C75724" w:rsidRPr="00D60728" w:rsidTr="004C76BD">
        <w:trPr>
          <w:trHeight w:val="680"/>
        </w:trPr>
        <w:tc>
          <w:tcPr>
            <w:tcW w:w="1129" w:type="dxa"/>
            <w:vMerge/>
            <w:vAlign w:val="center"/>
            <w:hideMark/>
          </w:tcPr>
          <w:p w:rsidR="00C75724" w:rsidRPr="00D60728" w:rsidRDefault="00C75724" w:rsidP="00BF7DCC">
            <w:pPr>
              <w:spacing w:line="240" w:lineRule="auto"/>
              <w:jc w:val="left"/>
              <w:rPr>
                <w:rFonts w:ascii="Times New Roman" w:hAnsi="Times New Roman"/>
                <w:sz w:val="20"/>
                <w:szCs w:val="20"/>
              </w:rPr>
            </w:pPr>
          </w:p>
        </w:tc>
        <w:tc>
          <w:tcPr>
            <w:tcW w:w="1418" w:type="dxa"/>
            <w:vAlign w:val="center"/>
            <w:hideMark/>
          </w:tcPr>
          <w:p w:rsidR="00C75724" w:rsidRPr="00D60728" w:rsidRDefault="00C75724"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C75724" w:rsidRPr="00D60728" w:rsidRDefault="00C75724"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p w:rsidR="00C75724" w:rsidRPr="00D60728" w:rsidRDefault="00C75724" w:rsidP="00BF7DCC">
            <w:pPr>
              <w:spacing w:line="240" w:lineRule="auto"/>
              <w:rPr>
                <w:rFonts w:ascii="Times New Roman" w:hAnsi="Times New Roman"/>
                <w:i/>
                <w:iCs/>
                <w:sz w:val="20"/>
                <w:szCs w:val="20"/>
              </w:rPr>
            </w:pPr>
            <w:r w:rsidRPr="00D60728">
              <w:rPr>
                <w:rFonts w:ascii="Times New Roman" w:hAnsi="Times New Roman"/>
                <w:i/>
                <w:iCs/>
                <w:sz w:val="20"/>
                <w:szCs w:val="20"/>
              </w:rPr>
              <w:t>MFIN</w:t>
            </w:r>
          </w:p>
        </w:tc>
      </w:tr>
      <w:tr w:rsidR="00853EA3" w:rsidRPr="00D60728" w:rsidTr="004C76BD">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Sredstva potrebna za izradu sveobuhvatne analize korištenja poreznog sustava za poticanje sustavnog gospodarenja energijom u poslovnom sektoru planira MZOE u sklopu svojih redovnih aktivnosti i proračuna; sama provedba porezne politike ne zahtijeva dodatna sredstva.</w:t>
            </w:r>
          </w:p>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(MZOE)</w:t>
            </w:r>
          </w:p>
        </w:tc>
      </w:tr>
      <w:tr w:rsidR="00C75724" w:rsidRPr="00D60728" w:rsidTr="004C76BD">
        <w:trPr>
          <w:trHeight w:val="945"/>
        </w:trPr>
        <w:tc>
          <w:tcPr>
            <w:tcW w:w="1129" w:type="dxa"/>
            <w:vMerge w:val="restart"/>
            <w:vAlign w:val="center"/>
            <w:hideMark/>
          </w:tcPr>
          <w:p w:rsidR="00C75724" w:rsidRPr="00D60728" w:rsidRDefault="00C75724"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C75724" w:rsidRPr="00D60728" w:rsidRDefault="00C75724"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C75724" w:rsidRPr="00D60728" w:rsidRDefault="00C75724"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potrošnje energije poslovnih subjekata u uslužnom i industrijskom sektoru</w:t>
            </w:r>
          </w:p>
        </w:tc>
      </w:tr>
      <w:tr w:rsidR="00BB684B" w:rsidRPr="00D60728" w:rsidTr="004C76BD">
        <w:trPr>
          <w:trHeight w:val="1120"/>
        </w:trPr>
        <w:tc>
          <w:tcPr>
            <w:tcW w:w="1129" w:type="dxa"/>
            <w:vMerge/>
            <w:vAlign w:val="center"/>
            <w:hideMark/>
          </w:tcPr>
          <w:p w:rsidR="00BB684B" w:rsidRPr="00D60728" w:rsidRDefault="00BB684B" w:rsidP="00BF7DCC">
            <w:pPr>
              <w:spacing w:line="240" w:lineRule="auto"/>
              <w:jc w:val="left"/>
              <w:rPr>
                <w:rFonts w:ascii="Times New Roman" w:hAnsi="Times New Roman"/>
                <w:sz w:val="20"/>
                <w:szCs w:val="20"/>
              </w:rPr>
            </w:pPr>
          </w:p>
        </w:tc>
        <w:tc>
          <w:tcPr>
            <w:tcW w:w="1418" w:type="dxa"/>
            <w:vAlign w:val="center"/>
          </w:tcPr>
          <w:p w:rsidR="00BB684B" w:rsidRPr="00D60728" w:rsidRDefault="00BB684B"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BB684B" w:rsidRPr="00D60728" w:rsidRDefault="00BB684B"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Metoda praćenja će se utvrditi za odabrano porezno rješenje.</w:t>
            </w:r>
          </w:p>
        </w:tc>
      </w:tr>
    </w:tbl>
    <w:p w:rsidR="00853EA3" w:rsidRPr="00D60728" w:rsidRDefault="00853EA3" w:rsidP="00BF7DCC">
      <w:pPr>
        <w:spacing w:line="240" w:lineRule="auto"/>
        <w:rPr>
          <w:sz w:val="20"/>
          <w:szCs w:val="20"/>
        </w:rPr>
      </w:pPr>
    </w:p>
    <w:p w:rsidR="00853EA3" w:rsidRPr="00D60728" w:rsidRDefault="00853EA3" w:rsidP="00BF7DCC">
      <w:pPr>
        <w:spacing w:line="240" w:lineRule="auto"/>
        <w:rPr>
          <w:sz w:val="20"/>
          <w:szCs w:val="20"/>
        </w:rPr>
      </w:pPr>
    </w:p>
    <w:p w:rsidR="00853EA3" w:rsidRPr="00D60728" w:rsidRDefault="00853EA3" w:rsidP="00BF7DCC">
      <w:pPr>
        <w:pStyle w:val="Caption"/>
        <w:keepNext/>
        <w:spacing w:after="0" w:line="240" w:lineRule="auto"/>
        <w:rPr>
          <w:sz w:val="20"/>
          <w:szCs w:val="20"/>
        </w:rPr>
      </w:pPr>
    </w:p>
    <w:p w:rsidR="004D16BC" w:rsidRPr="00D60728" w:rsidRDefault="004D16BC" w:rsidP="00BF7DCC">
      <w:pPr>
        <w:spacing w:line="240" w:lineRule="auto"/>
        <w:rPr>
          <w:sz w:val="20"/>
          <w:szCs w:val="20"/>
        </w:rPr>
      </w:pPr>
      <w:r w:rsidRPr="00D60728">
        <w:rPr>
          <w:sz w:val="20"/>
          <w:szCs w:val="20"/>
        </w:rPr>
        <w:br w:type="page"/>
      </w:r>
    </w:p>
    <w:tbl>
      <w:tblPr>
        <w:tblStyle w:val="TableGrid"/>
        <w:tblW w:w="9175" w:type="dxa"/>
        <w:tblLayout w:type="fixed"/>
        <w:tblLook w:val="04A0" w:firstRow="1" w:lastRow="0" w:firstColumn="1" w:lastColumn="0" w:noHBand="0" w:noVBand="1"/>
      </w:tblPr>
      <w:tblGrid>
        <w:gridCol w:w="1129"/>
        <w:gridCol w:w="1418"/>
        <w:gridCol w:w="6628"/>
      </w:tblGrid>
      <w:tr w:rsidR="00853EA3" w:rsidRPr="00707212" w:rsidTr="004C76BD">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Informativni računi</w:t>
            </w:r>
          </w:p>
        </w:tc>
      </w:tr>
      <w:tr w:rsidR="00853EA3" w:rsidRPr="00D60728" w:rsidTr="004C76BD">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MEN-9</w:t>
            </w:r>
          </w:p>
        </w:tc>
      </w:tr>
      <w:tr w:rsidR="00853EA3" w:rsidRPr="00D60728" w:rsidTr="004C76BD">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mjera</w:t>
            </w:r>
          </w:p>
        </w:tc>
      </w:tr>
      <w:tr w:rsidR="00853EA3" w:rsidRPr="00D60728" w:rsidTr="004C76BD">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4D16BC" w:rsidRPr="00D60728">
              <w:rPr>
                <w:rFonts w:ascii="Times New Roman" w:hAnsi="Times New Roman"/>
                <w:i/>
                <w:iCs/>
                <w:sz w:val="20"/>
                <w:szCs w:val="20"/>
              </w:rPr>
              <w:t>20</w:t>
            </w:r>
            <w:r w:rsidRPr="00D60728">
              <w:rPr>
                <w:rFonts w:ascii="Times New Roman" w:hAnsi="Times New Roman"/>
                <w:i/>
                <w:iCs/>
                <w:sz w:val="20"/>
                <w:szCs w:val="20"/>
              </w:rPr>
              <w:t>.</w:t>
            </w:r>
          </w:p>
        </w:tc>
      </w:tr>
      <w:tr w:rsidR="00853EA3" w:rsidRPr="00D60728" w:rsidTr="004C76BD">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4D16BC"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r w:rsidR="00853EA3" w:rsidRPr="00D60728">
              <w:rPr>
                <w:rFonts w:ascii="Times New Roman" w:hAnsi="Times New Roman"/>
                <w:i/>
                <w:iCs/>
                <w:sz w:val="20"/>
                <w:szCs w:val="20"/>
              </w:rPr>
              <w:t>.</w:t>
            </w:r>
          </w:p>
        </w:tc>
      </w:tr>
      <w:tr w:rsidR="004D16BC" w:rsidRPr="00D60728" w:rsidTr="00707212">
        <w:trPr>
          <w:trHeight w:val="2919"/>
        </w:trPr>
        <w:tc>
          <w:tcPr>
            <w:tcW w:w="1129" w:type="dxa"/>
            <w:vMerge/>
            <w:vAlign w:val="center"/>
            <w:hideMark/>
          </w:tcPr>
          <w:p w:rsidR="004D16BC" w:rsidRPr="00D60728" w:rsidRDefault="004D16BC" w:rsidP="00BF7DCC">
            <w:pPr>
              <w:spacing w:line="240" w:lineRule="auto"/>
              <w:jc w:val="left"/>
              <w:rPr>
                <w:rFonts w:ascii="Times New Roman" w:hAnsi="Times New Roman"/>
                <w:sz w:val="20"/>
                <w:szCs w:val="20"/>
              </w:rPr>
            </w:pPr>
          </w:p>
        </w:tc>
        <w:tc>
          <w:tcPr>
            <w:tcW w:w="1418" w:type="dxa"/>
            <w:vAlign w:val="center"/>
          </w:tcPr>
          <w:p w:rsidR="004D16BC" w:rsidRPr="00D60728" w:rsidRDefault="004D16BC"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4D16BC" w:rsidRPr="00D60728" w:rsidRDefault="004D16BC" w:rsidP="00BF7DCC">
            <w:pPr>
              <w:spacing w:line="240" w:lineRule="auto"/>
              <w:rPr>
                <w:rFonts w:ascii="Times New Roman" w:hAnsi="Times New Roman"/>
                <w:i/>
                <w:iCs/>
                <w:sz w:val="20"/>
                <w:szCs w:val="20"/>
              </w:rPr>
            </w:pPr>
            <w:r w:rsidRPr="00D60728">
              <w:rPr>
                <w:rFonts w:ascii="Times New Roman" w:hAnsi="Times New Roman"/>
                <w:i/>
                <w:iCs/>
                <w:sz w:val="20"/>
                <w:szCs w:val="20"/>
              </w:rPr>
              <w:t>Jedna od temeljnih mjera informiranja potrošača jest zakonska obveza opskrbljivača da barem jednom godišnje dostavljaju potrošačima informativne račune, koji sadrže informacije o obračunu energije te prethodnoj potrošnji krajnjeg kupca za obračunska mjerna mjesta koja su predmet ugovornog odnosa, koje obuhvaćaju usporedbu s prosječnim uobičajenim ili referentnim krajnjim kupcem iz iste kategorije krajnjih kupaca opskrbljivača. Poželjno je frekvenciju primjene ove zakonske odredbe s godišnje razine svesti na mjesečnu razinu te je apsolutno nužno osigurati da regulatorno tijelo za energetiku (HERA) provodi nadzor nad ovim obvezama opskrbljivača energije. Osim toga, na temelju ovih regulatornih odredbi potrebno je i dodatno informirati potrošače o sadržaju i značenju računa, što je zadatak Nacionalnog koordinacijskog tijela (NKT) za energetsku učinkovitost.</w:t>
            </w:r>
          </w:p>
        </w:tc>
      </w:tr>
      <w:tr w:rsidR="00853EA3" w:rsidRPr="00D60728" w:rsidTr="004C76BD">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ListParagraph"/>
              <w:numPr>
                <w:ilvl w:val="0"/>
                <w:numId w:val="66"/>
              </w:numPr>
              <w:spacing w:line="240" w:lineRule="auto"/>
              <w:ind w:left="284" w:hanging="284"/>
              <w:rPr>
                <w:rFonts w:ascii="Times New Roman" w:hAnsi="Times New Roman"/>
                <w:i/>
                <w:sz w:val="20"/>
                <w:szCs w:val="20"/>
              </w:rPr>
            </w:pPr>
            <w:r w:rsidRPr="00D60728">
              <w:rPr>
                <w:rFonts w:ascii="Times New Roman" w:hAnsi="Times New Roman"/>
                <w:i/>
                <w:sz w:val="20"/>
                <w:szCs w:val="20"/>
              </w:rPr>
              <w:t>MZOE – NKT će tijekom 2020. godine:</w:t>
            </w:r>
          </w:p>
          <w:p w:rsidR="00853EA3" w:rsidRPr="00D60728" w:rsidRDefault="00853EA3" w:rsidP="00BF7DCC">
            <w:pPr>
              <w:pStyle w:val="ListParagraph"/>
              <w:numPr>
                <w:ilvl w:val="0"/>
                <w:numId w:val="59"/>
              </w:numPr>
              <w:spacing w:line="240" w:lineRule="auto"/>
              <w:ind w:left="568" w:hanging="284"/>
              <w:rPr>
                <w:rFonts w:ascii="Times New Roman" w:hAnsi="Times New Roman"/>
                <w:i/>
                <w:sz w:val="20"/>
                <w:szCs w:val="20"/>
              </w:rPr>
            </w:pPr>
            <w:r w:rsidRPr="00D60728">
              <w:rPr>
                <w:rFonts w:ascii="Times New Roman" w:hAnsi="Times New Roman"/>
                <w:i/>
                <w:sz w:val="20"/>
                <w:szCs w:val="20"/>
              </w:rPr>
              <w:t>izraditi naputak za opskrbljivače kojim će se definirati svi potrebni podaci koji bi se prikazivali na mjesečnim računima, a u svrhu informiranja potrošača;</w:t>
            </w:r>
          </w:p>
          <w:p w:rsidR="00853EA3" w:rsidRPr="00D60728" w:rsidRDefault="00853EA3" w:rsidP="00BF7DCC">
            <w:pPr>
              <w:pStyle w:val="ListParagraph"/>
              <w:numPr>
                <w:ilvl w:val="0"/>
                <w:numId w:val="58"/>
              </w:numPr>
              <w:spacing w:line="240" w:lineRule="auto"/>
              <w:ind w:left="568" w:hanging="284"/>
              <w:rPr>
                <w:rFonts w:ascii="Times New Roman" w:hAnsi="Times New Roman"/>
                <w:i/>
                <w:sz w:val="20"/>
                <w:szCs w:val="20"/>
              </w:rPr>
            </w:pPr>
            <w:r w:rsidRPr="00D60728">
              <w:rPr>
                <w:rFonts w:ascii="Times New Roman" w:hAnsi="Times New Roman"/>
                <w:i/>
                <w:sz w:val="20"/>
                <w:szCs w:val="20"/>
              </w:rPr>
              <w:t>izraditi i objaviti objašnjenja računa na nacionalnom energetskom portalu energetske učinkovitosti;</w:t>
            </w:r>
          </w:p>
          <w:p w:rsidR="00853EA3" w:rsidRPr="00D60728" w:rsidRDefault="00853EA3" w:rsidP="00BF7DCC">
            <w:pPr>
              <w:pStyle w:val="ListParagraph"/>
              <w:numPr>
                <w:ilvl w:val="0"/>
                <w:numId w:val="58"/>
              </w:numPr>
              <w:spacing w:line="240" w:lineRule="auto"/>
              <w:ind w:left="284" w:hanging="284"/>
              <w:rPr>
                <w:rFonts w:ascii="Times New Roman" w:hAnsi="Times New Roman"/>
                <w:i/>
                <w:sz w:val="20"/>
                <w:szCs w:val="20"/>
              </w:rPr>
            </w:pPr>
            <w:r w:rsidRPr="00D60728">
              <w:rPr>
                <w:rFonts w:ascii="Times New Roman" w:hAnsi="Times New Roman"/>
                <w:i/>
                <w:sz w:val="20"/>
                <w:szCs w:val="20"/>
              </w:rPr>
              <w:t>U cijelom razdoblju MZOE – NKT će sustavno raditi na informiranju i opskrbljivača i potrošača o njihovim pravima i obvezama.</w:t>
            </w:r>
          </w:p>
        </w:tc>
      </w:tr>
      <w:tr w:rsidR="0075613F" w:rsidRPr="00D60728" w:rsidTr="0075613F">
        <w:trPr>
          <w:trHeight w:val="794"/>
        </w:trPr>
        <w:tc>
          <w:tcPr>
            <w:tcW w:w="1129" w:type="dxa"/>
            <w:vMerge/>
            <w:vAlign w:val="center"/>
            <w:hideMark/>
          </w:tcPr>
          <w:p w:rsidR="0075613F" w:rsidRPr="00D60728" w:rsidRDefault="0075613F" w:rsidP="00BF7DCC">
            <w:pPr>
              <w:spacing w:line="240" w:lineRule="auto"/>
              <w:jc w:val="left"/>
              <w:rPr>
                <w:rFonts w:ascii="Times New Roman" w:hAnsi="Times New Roman"/>
                <w:sz w:val="20"/>
                <w:szCs w:val="20"/>
              </w:rPr>
            </w:pPr>
          </w:p>
        </w:tc>
        <w:tc>
          <w:tcPr>
            <w:tcW w:w="1418" w:type="dxa"/>
            <w:vAlign w:val="center"/>
            <w:hideMark/>
          </w:tcPr>
          <w:p w:rsidR="0075613F" w:rsidRPr="00D60728" w:rsidRDefault="0075613F"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75613F" w:rsidRPr="00D60728" w:rsidRDefault="0075613F"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MZOE – NKT </w:t>
            </w:r>
          </w:p>
          <w:p w:rsidR="0075613F" w:rsidRPr="00D60728" w:rsidRDefault="0075613F" w:rsidP="00BF7DCC">
            <w:pPr>
              <w:spacing w:line="240" w:lineRule="auto"/>
              <w:rPr>
                <w:rFonts w:ascii="Times New Roman" w:hAnsi="Times New Roman"/>
                <w:i/>
                <w:iCs/>
                <w:sz w:val="20"/>
                <w:szCs w:val="20"/>
              </w:rPr>
            </w:pPr>
            <w:r w:rsidRPr="00D60728">
              <w:rPr>
                <w:rFonts w:ascii="Times New Roman" w:hAnsi="Times New Roman"/>
                <w:i/>
                <w:iCs/>
                <w:sz w:val="20"/>
                <w:szCs w:val="20"/>
              </w:rPr>
              <w:t>HERA</w:t>
            </w:r>
          </w:p>
        </w:tc>
      </w:tr>
      <w:tr w:rsidR="00853EA3" w:rsidRPr="00D60728" w:rsidTr="004C76BD">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Sredstva potrebna za provedbu svih predviđenih aktivnosti planira MZOE u sklopu svojih redovnih aktivnosti i proračuna.</w:t>
            </w:r>
          </w:p>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(MZOE)</w:t>
            </w:r>
          </w:p>
        </w:tc>
      </w:tr>
      <w:tr w:rsidR="0075613F" w:rsidRPr="00D60728" w:rsidTr="009B6F17">
        <w:trPr>
          <w:trHeight w:val="945"/>
        </w:trPr>
        <w:tc>
          <w:tcPr>
            <w:tcW w:w="1129" w:type="dxa"/>
            <w:vMerge w:val="restart"/>
            <w:vAlign w:val="center"/>
            <w:hideMark/>
          </w:tcPr>
          <w:p w:rsidR="0075613F" w:rsidRPr="00D60728" w:rsidRDefault="0075613F"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75613F" w:rsidRPr="00D60728" w:rsidRDefault="0075613F"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75613F" w:rsidRPr="00D60728" w:rsidRDefault="0075613F"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Povećanje razine svijesti potrošača o potrošnji energije i posljedično promjena ponašanja uz smanjenu potrošnju energije</w:t>
            </w:r>
          </w:p>
        </w:tc>
      </w:tr>
      <w:tr w:rsidR="0075613F" w:rsidRPr="00D60728" w:rsidTr="009B6F17">
        <w:trPr>
          <w:trHeight w:val="1120"/>
        </w:trPr>
        <w:tc>
          <w:tcPr>
            <w:tcW w:w="1129" w:type="dxa"/>
            <w:vMerge/>
            <w:vAlign w:val="center"/>
            <w:hideMark/>
          </w:tcPr>
          <w:p w:rsidR="0075613F" w:rsidRPr="00D60728" w:rsidRDefault="0075613F" w:rsidP="00BF7DCC">
            <w:pPr>
              <w:spacing w:line="240" w:lineRule="auto"/>
              <w:jc w:val="left"/>
              <w:rPr>
                <w:rFonts w:ascii="Times New Roman" w:hAnsi="Times New Roman"/>
                <w:sz w:val="20"/>
                <w:szCs w:val="20"/>
              </w:rPr>
            </w:pPr>
          </w:p>
        </w:tc>
        <w:tc>
          <w:tcPr>
            <w:tcW w:w="1418" w:type="dxa"/>
            <w:vAlign w:val="center"/>
          </w:tcPr>
          <w:p w:rsidR="0075613F" w:rsidRPr="00D60728" w:rsidRDefault="0075613F"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75613F" w:rsidRPr="00D60728" w:rsidRDefault="0075613F"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Učinke ove mjere moguće je pratiti jedino pokazateljima odozgo-prema-dolje.</w:t>
            </w:r>
          </w:p>
        </w:tc>
      </w:tr>
    </w:tbl>
    <w:p w:rsidR="00853EA3" w:rsidRPr="00D60728" w:rsidRDefault="00853EA3" w:rsidP="00BF7DCC">
      <w:pPr>
        <w:spacing w:line="240" w:lineRule="auto"/>
        <w:rPr>
          <w:sz w:val="20"/>
          <w:szCs w:val="20"/>
        </w:rPr>
      </w:pPr>
    </w:p>
    <w:p w:rsidR="00853EA3" w:rsidRPr="00D60728" w:rsidRDefault="00853EA3" w:rsidP="00BF7DCC">
      <w:pPr>
        <w:spacing w:line="240" w:lineRule="auto"/>
        <w:rPr>
          <w:sz w:val="20"/>
          <w:szCs w:val="20"/>
        </w:rPr>
      </w:pPr>
    </w:p>
    <w:p w:rsidR="00853EA3" w:rsidRDefault="00853EA3" w:rsidP="00BF7DCC">
      <w:pPr>
        <w:spacing w:line="240" w:lineRule="auto"/>
        <w:rPr>
          <w:sz w:val="20"/>
          <w:szCs w:val="20"/>
        </w:rPr>
      </w:pPr>
    </w:p>
    <w:p w:rsidR="00707212" w:rsidRDefault="00707212" w:rsidP="00BF7DCC">
      <w:pPr>
        <w:spacing w:line="240" w:lineRule="auto"/>
        <w:rPr>
          <w:sz w:val="20"/>
          <w:szCs w:val="20"/>
        </w:rPr>
      </w:pPr>
    </w:p>
    <w:p w:rsidR="00707212" w:rsidRDefault="00707212" w:rsidP="00BF7DCC">
      <w:pPr>
        <w:spacing w:line="240" w:lineRule="auto"/>
        <w:rPr>
          <w:sz w:val="20"/>
          <w:szCs w:val="20"/>
        </w:rPr>
      </w:pPr>
    </w:p>
    <w:p w:rsidR="00707212" w:rsidRDefault="00707212" w:rsidP="00BF7DCC">
      <w:pPr>
        <w:spacing w:line="240" w:lineRule="auto"/>
        <w:rPr>
          <w:sz w:val="20"/>
          <w:szCs w:val="20"/>
        </w:rPr>
      </w:pPr>
    </w:p>
    <w:p w:rsidR="00707212" w:rsidRDefault="00707212" w:rsidP="00BF7DCC">
      <w:pPr>
        <w:spacing w:line="240" w:lineRule="auto"/>
        <w:rPr>
          <w:sz w:val="20"/>
          <w:szCs w:val="20"/>
        </w:rPr>
      </w:pPr>
    </w:p>
    <w:p w:rsidR="00707212" w:rsidRDefault="00707212" w:rsidP="00BF7DCC">
      <w:pPr>
        <w:spacing w:line="240" w:lineRule="auto"/>
        <w:rPr>
          <w:sz w:val="20"/>
          <w:szCs w:val="20"/>
        </w:rPr>
      </w:pPr>
    </w:p>
    <w:p w:rsidR="00707212" w:rsidRPr="00D60728" w:rsidRDefault="00707212" w:rsidP="00BF7DCC">
      <w:pPr>
        <w:spacing w:line="240" w:lineRule="auto"/>
        <w:rPr>
          <w:sz w:val="20"/>
          <w:szCs w:val="20"/>
        </w:rPr>
      </w:pPr>
    </w:p>
    <w:p w:rsidR="00853EA3" w:rsidRPr="00D60728" w:rsidRDefault="00853EA3"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853EA3" w:rsidRPr="00707212" w:rsidTr="00D31B46">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853EA3" w:rsidRPr="00562A60" w:rsidRDefault="00853EA3" w:rsidP="00BF7DCC">
            <w:pPr>
              <w:spacing w:line="240" w:lineRule="auto"/>
              <w:ind w:right="57"/>
              <w:rPr>
                <w:rFonts w:ascii="Times New Roman" w:hAnsi="Times New Roman"/>
                <w:b/>
                <w:i/>
                <w:iCs/>
                <w:highlight w:val="yellow"/>
              </w:rPr>
            </w:pPr>
            <w:r w:rsidRPr="00562A60">
              <w:rPr>
                <w:rFonts w:ascii="Times New Roman" w:hAnsi="Times New Roman"/>
                <w:b/>
                <w:i/>
                <w:iCs/>
                <w:highlight w:val="yellow"/>
              </w:rPr>
              <w:t>Informiranje o energetskoj učinkovitosti</w:t>
            </w:r>
          </w:p>
        </w:tc>
      </w:tr>
      <w:tr w:rsidR="00853EA3" w:rsidRPr="00D60728" w:rsidTr="00D31B46">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MEN-10</w:t>
            </w:r>
          </w:p>
        </w:tc>
      </w:tr>
      <w:tr w:rsidR="00853EA3" w:rsidRPr="00D60728" w:rsidTr="00D31B46">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mjera</w:t>
            </w:r>
          </w:p>
        </w:tc>
      </w:tr>
      <w:tr w:rsidR="00853EA3" w:rsidRPr="00D60728" w:rsidTr="00D31B46">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D31B46" w:rsidRPr="00D60728">
              <w:rPr>
                <w:rFonts w:ascii="Times New Roman" w:hAnsi="Times New Roman"/>
                <w:i/>
                <w:iCs/>
                <w:sz w:val="20"/>
                <w:szCs w:val="20"/>
              </w:rPr>
              <w:t>20</w:t>
            </w:r>
            <w:r w:rsidRPr="00D60728">
              <w:rPr>
                <w:rFonts w:ascii="Times New Roman" w:hAnsi="Times New Roman"/>
                <w:i/>
                <w:iCs/>
                <w:sz w:val="20"/>
                <w:szCs w:val="20"/>
              </w:rPr>
              <w:t>.</w:t>
            </w:r>
          </w:p>
        </w:tc>
      </w:tr>
      <w:tr w:rsidR="00853EA3" w:rsidRPr="00D60728" w:rsidTr="00D31B46">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D31B46" w:rsidRPr="00D60728">
              <w:rPr>
                <w:rFonts w:ascii="Times New Roman" w:hAnsi="Times New Roman"/>
                <w:i/>
                <w:iCs/>
                <w:sz w:val="20"/>
                <w:szCs w:val="20"/>
              </w:rPr>
              <w:t>24</w:t>
            </w:r>
            <w:r w:rsidRPr="00D60728">
              <w:rPr>
                <w:rFonts w:ascii="Times New Roman" w:hAnsi="Times New Roman"/>
                <w:i/>
                <w:iCs/>
                <w:sz w:val="20"/>
                <w:szCs w:val="20"/>
              </w:rPr>
              <w:t>.</w:t>
            </w:r>
          </w:p>
        </w:tc>
      </w:tr>
      <w:tr w:rsidR="003F0668" w:rsidRPr="00D60728" w:rsidTr="00D31B46">
        <w:trPr>
          <w:trHeight w:val="2154"/>
        </w:trPr>
        <w:tc>
          <w:tcPr>
            <w:tcW w:w="1129" w:type="dxa"/>
            <w:vMerge/>
            <w:vAlign w:val="center"/>
            <w:hideMark/>
          </w:tcPr>
          <w:p w:rsidR="003F0668" w:rsidRPr="00D60728" w:rsidRDefault="003F0668" w:rsidP="00BF7DCC">
            <w:pPr>
              <w:spacing w:line="240" w:lineRule="auto"/>
              <w:jc w:val="left"/>
              <w:rPr>
                <w:rFonts w:ascii="Times New Roman" w:hAnsi="Times New Roman"/>
                <w:sz w:val="20"/>
                <w:szCs w:val="20"/>
              </w:rPr>
            </w:pPr>
          </w:p>
        </w:tc>
        <w:tc>
          <w:tcPr>
            <w:tcW w:w="1418" w:type="dxa"/>
            <w:vAlign w:val="center"/>
          </w:tcPr>
          <w:p w:rsidR="003F0668" w:rsidRPr="00D60728" w:rsidRDefault="003F0668"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shd w:val="clear" w:color="auto" w:fill="auto"/>
            <w:vAlign w:val="center"/>
          </w:tcPr>
          <w:p w:rsidR="003F0668" w:rsidRPr="00D60728" w:rsidRDefault="003F0668" w:rsidP="00BF7DCC">
            <w:pPr>
              <w:spacing w:line="240" w:lineRule="auto"/>
              <w:rPr>
                <w:rFonts w:ascii="Times New Roman" w:hAnsi="Times New Roman"/>
                <w:i/>
                <w:iCs/>
                <w:sz w:val="20"/>
                <w:szCs w:val="20"/>
              </w:rPr>
            </w:pPr>
            <w:r w:rsidRPr="00D60728">
              <w:rPr>
                <w:rFonts w:ascii="Times New Roman" w:hAnsi="Times New Roman"/>
                <w:i/>
                <w:iCs/>
                <w:sz w:val="20"/>
                <w:szCs w:val="20"/>
              </w:rPr>
              <w:t>Informiranje opće javnosti i ciljnih skupina provodit će se organizacijom ciljanih info-kampanja vezanih uz specifične programe poticanja energetske učinkovitosti, poglavito energetske obnove zgrada. NKT će održavati nacionalni portal energetske učinkovitosti i kroz osiguranje ažurnih informacija osigurati kontinuiranu promociju energetske učinkovitosti i energetskih usluga. Posebnu je pozornost u sljedećem razdoblju potrebno dati informiranju potrošača o dužnostima opskrbljivača u sklopu sustava obveza.</w:t>
            </w:r>
          </w:p>
        </w:tc>
      </w:tr>
      <w:tr w:rsidR="00853EA3" w:rsidRPr="00D60728" w:rsidTr="00D31B46">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ListParagraph"/>
              <w:numPr>
                <w:ilvl w:val="0"/>
                <w:numId w:val="58"/>
              </w:numPr>
              <w:spacing w:line="240" w:lineRule="auto"/>
              <w:ind w:left="284" w:hanging="284"/>
              <w:rPr>
                <w:rFonts w:ascii="Times New Roman" w:hAnsi="Times New Roman"/>
                <w:i/>
                <w:sz w:val="20"/>
                <w:szCs w:val="20"/>
              </w:rPr>
            </w:pPr>
            <w:r w:rsidRPr="00D60728">
              <w:rPr>
                <w:rFonts w:ascii="Times New Roman" w:hAnsi="Times New Roman"/>
                <w:i/>
                <w:sz w:val="20"/>
                <w:szCs w:val="20"/>
              </w:rPr>
              <w:t>Osiguravanje kontinuiranog informiranja puten nacionalnog portala za energetsku učinkovitost - portal www.enu.hr je centralno mjesto o informiranju o aktualnostima u području ušteda energije u Republici Hrvatskoj. Sadržaj portala je grupiran oko tri temeljna nositelja promjena: građani, javni sektor, komercijalni sektor uz rubriku EE u Hrvatskoj koja sadrži sve važne dokumente, strateška usmjerenja i informacije o institucijama koje djeluju unutar područja energetske učinkovitosti. Portal objavljuje sve informacije o aktivnostima, savjetima, događanjima, projektima, natječajima, novostima i obavezama vezanim uz energetsku učinkovitost u Republici Hrvatskoj. MZOE – NKT se obvezuje održavati i osigurati punu funkcionalnost portala;</w:t>
            </w:r>
          </w:p>
          <w:p w:rsidR="00853EA3" w:rsidRPr="00D60728" w:rsidRDefault="00853EA3" w:rsidP="00BF7DCC">
            <w:pPr>
              <w:pStyle w:val="ListParagraph"/>
              <w:numPr>
                <w:ilvl w:val="0"/>
                <w:numId w:val="58"/>
              </w:numPr>
              <w:spacing w:line="240" w:lineRule="auto"/>
              <w:ind w:left="284" w:hanging="284"/>
              <w:rPr>
                <w:rFonts w:ascii="Times New Roman" w:hAnsi="Times New Roman"/>
                <w:i/>
                <w:sz w:val="20"/>
                <w:szCs w:val="20"/>
              </w:rPr>
            </w:pPr>
            <w:r w:rsidRPr="00D60728">
              <w:rPr>
                <w:rFonts w:ascii="Times New Roman" w:hAnsi="Times New Roman"/>
                <w:i/>
                <w:sz w:val="20"/>
                <w:szCs w:val="20"/>
              </w:rPr>
              <w:t>Ciljane info-kampanje potrebno je provoditi u sklopu drugih mjera, pogotovo mjera energetske obnove zgrada, a tijela zadužena za provedbu tih mjera zadužuju se i za provedbu aktivnosti informiranja;</w:t>
            </w:r>
          </w:p>
          <w:p w:rsidR="00853EA3" w:rsidRPr="00D60728" w:rsidRDefault="00853EA3" w:rsidP="00BF7DCC">
            <w:pPr>
              <w:pStyle w:val="ListParagraph"/>
              <w:numPr>
                <w:ilvl w:val="0"/>
                <w:numId w:val="58"/>
              </w:numPr>
              <w:spacing w:line="240" w:lineRule="auto"/>
              <w:ind w:left="284" w:hanging="284"/>
              <w:rPr>
                <w:rFonts w:ascii="Times New Roman" w:hAnsi="Times New Roman"/>
                <w:i/>
                <w:sz w:val="20"/>
                <w:szCs w:val="20"/>
              </w:rPr>
            </w:pPr>
            <w:r w:rsidRPr="00D60728">
              <w:rPr>
                <w:rFonts w:ascii="Times New Roman" w:hAnsi="Times New Roman"/>
                <w:i/>
                <w:sz w:val="20"/>
                <w:szCs w:val="20"/>
              </w:rPr>
              <w:t>Ciljane info-kampanje potrebno je usmjeravati i na stručnu javnost, koju je u suradnji s ostalim dionicima (stručnim udruženjima, akademskom zajednicom, nevladinim organizacijama i dr.) potrebno redovno informirati o aktualnostima i trendovima iz područja energetske učinkovitosti, uključujući zelenu gradnju, kružno gospodarstvo i održivu mobilnost.</w:t>
            </w:r>
          </w:p>
        </w:tc>
      </w:tr>
      <w:tr w:rsidR="003F0668" w:rsidRPr="00D60728" w:rsidTr="00D31B46">
        <w:trPr>
          <w:trHeight w:val="1304"/>
        </w:trPr>
        <w:tc>
          <w:tcPr>
            <w:tcW w:w="1129" w:type="dxa"/>
            <w:vMerge/>
            <w:vAlign w:val="center"/>
            <w:hideMark/>
          </w:tcPr>
          <w:p w:rsidR="003F0668" w:rsidRPr="00D60728" w:rsidRDefault="003F0668" w:rsidP="00BF7DCC">
            <w:pPr>
              <w:spacing w:line="240" w:lineRule="auto"/>
              <w:jc w:val="left"/>
              <w:rPr>
                <w:rFonts w:ascii="Times New Roman" w:hAnsi="Times New Roman"/>
                <w:sz w:val="20"/>
                <w:szCs w:val="20"/>
              </w:rPr>
            </w:pPr>
          </w:p>
        </w:tc>
        <w:tc>
          <w:tcPr>
            <w:tcW w:w="1418" w:type="dxa"/>
            <w:vAlign w:val="center"/>
            <w:hideMark/>
          </w:tcPr>
          <w:p w:rsidR="003F0668" w:rsidRPr="00D60728" w:rsidRDefault="003F0668"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3F0668" w:rsidRPr="00D60728" w:rsidRDefault="003F0668"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MZOE – NKT </w:t>
            </w:r>
          </w:p>
          <w:p w:rsidR="003F0668" w:rsidRPr="00D60728" w:rsidRDefault="003F0668" w:rsidP="00BF7DCC">
            <w:pPr>
              <w:spacing w:line="240" w:lineRule="auto"/>
              <w:rPr>
                <w:rFonts w:ascii="Times New Roman" w:hAnsi="Times New Roman"/>
                <w:i/>
                <w:iCs/>
                <w:sz w:val="20"/>
                <w:szCs w:val="20"/>
              </w:rPr>
            </w:pPr>
            <w:r w:rsidRPr="00D60728">
              <w:rPr>
                <w:rFonts w:ascii="Times New Roman" w:hAnsi="Times New Roman"/>
                <w:i/>
                <w:iCs/>
                <w:sz w:val="20"/>
                <w:szCs w:val="20"/>
              </w:rPr>
              <w:t>MGIPU</w:t>
            </w:r>
          </w:p>
          <w:p w:rsidR="003F0668" w:rsidRPr="00D60728" w:rsidRDefault="003F0668" w:rsidP="00BF7DCC">
            <w:pPr>
              <w:spacing w:line="240" w:lineRule="auto"/>
              <w:rPr>
                <w:rFonts w:ascii="Times New Roman" w:hAnsi="Times New Roman"/>
                <w:i/>
                <w:iCs/>
                <w:sz w:val="20"/>
                <w:szCs w:val="20"/>
              </w:rPr>
            </w:pPr>
            <w:r w:rsidRPr="00D60728">
              <w:rPr>
                <w:rFonts w:ascii="Times New Roman" w:hAnsi="Times New Roman"/>
                <w:i/>
                <w:iCs/>
                <w:sz w:val="20"/>
                <w:szCs w:val="20"/>
              </w:rPr>
              <w:t>FZOEU</w:t>
            </w:r>
          </w:p>
          <w:p w:rsidR="003F0668" w:rsidRPr="00D60728" w:rsidRDefault="003F0668" w:rsidP="00BF7DCC">
            <w:pPr>
              <w:spacing w:line="240" w:lineRule="auto"/>
              <w:rPr>
                <w:rFonts w:ascii="Times New Roman" w:hAnsi="Times New Roman"/>
                <w:i/>
                <w:iCs/>
                <w:sz w:val="20"/>
                <w:szCs w:val="20"/>
              </w:rPr>
            </w:pPr>
            <w:r w:rsidRPr="00562A60">
              <w:rPr>
                <w:rFonts w:ascii="Times New Roman" w:hAnsi="Times New Roman"/>
                <w:i/>
                <w:iCs/>
                <w:sz w:val="20"/>
                <w:szCs w:val="20"/>
                <w:highlight w:val="yellow"/>
              </w:rPr>
              <w:t>JLP(R)S</w:t>
            </w:r>
          </w:p>
        </w:tc>
      </w:tr>
      <w:tr w:rsidR="00853EA3" w:rsidRPr="00D60728" w:rsidTr="00D31B46">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Sredstva potrebna za provedbu svih predviđenih aktivnosti planira MZOE u sklopu svojih redovnih aktivnosti i proračuna.</w:t>
            </w:r>
          </w:p>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(MZOE)</w:t>
            </w:r>
          </w:p>
        </w:tc>
      </w:tr>
      <w:tr w:rsidR="003F0668" w:rsidRPr="00D60728" w:rsidTr="00D31B46">
        <w:trPr>
          <w:trHeight w:val="850"/>
        </w:trPr>
        <w:tc>
          <w:tcPr>
            <w:tcW w:w="1129" w:type="dxa"/>
            <w:vMerge w:val="restart"/>
            <w:vAlign w:val="center"/>
            <w:hideMark/>
          </w:tcPr>
          <w:p w:rsidR="003F0668" w:rsidRPr="00D60728" w:rsidRDefault="003F0668"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3F0668" w:rsidRPr="00D60728" w:rsidRDefault="003F0668"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3F0668" w:rsidRPr="00D60728" w:rsidRDefault="003F0668"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Povećanje razine svijesti o koristima energetske učinkovitosti uz posljedičnu promjenu ponašanja i smanjenje potrošnje energije primjenom konkretnih mjera.</w:t>
            </w:r>
          </w:p>
        </w:tc>
      </w:tr>
      <w:tr w:rsidR="00755A54" w:rsidRPr="00D60728" w:rsidTr="00D31B46">
        <w:trPr>
          <w:trHeight w:val="1191"/>
        </w:trPr>
        <w:tc>
          <w:tcPr>
            <w:tcW w:w="1129" w:type="dxa"/>
            <w:vMerge/>
            <w:vAlign w:val="center"/>
            <w:hideMark/>
          </w:tcPr>
          <w:p w:rsidR="00755A54" w:rsidRPr="00D60728" w:rsidRDefault="00755A54" w:rsidP="00BF7DCC">
            <w:pPr>
              <w:spacing w:line="240" w:lineRule="auto"/>
              <w:jc w:val="left"/>
              <w:rPr>
                <w:rFonts w:ascii="Times New Roman" w:hAnsi="Times New Roman"/>
                <w:sz w:val="20"/>
                <w:szCs w:val="20"/>
              </w:rPr>
            </w:pPr>
          </w:p>
        </w:tc>
        <w:tc>
          <w:tcPr>
            <w:tcW w:w="1418" w:type="dxa"/>
            <w:vAlign w:val="center"/>
          </w:tcPr>
          <w:p w:rsidR="00755A54" w:rsidRPr="00D60728" w:rsidRDefault="00755A54"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755A54" w:rsidRPr="00D60728" w:rsidRDefault="00755A54"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Praćenje učinka ove mjere moguće je primjenom metoda odozgo-prema-dolje na sektorskoj razini. Prije provođenja svake info kampanje potrebno je napraviti istraživanje tržišta te učinke dokazati ponavljanjem istog ispitivanja nakon provedene kampanje.</w:t>
            </w:r>
          </w:p>
        </w:tc>
      </w:tr>
    </w:tbl>
    <w:p w:rsidR="00853EA3" w:rsidRPr="00D60728" w:rsidRDefault="00853EA3" w:rsidP="00BF7DCC">
      <w:pPr>
        <w:spacing w:line="240" w:lineRule="auto"/>
        <w:rPr>
          <w:sz w:val="20"/>
          <w:szCs w:val="20"/>
        </w:rPr>
      </w:pPr>
    </w:p>
    <w:p w:rsidR="00853EA3" w:rsidRPr="00D60728" w:rsidRDefault="00853EA3" w:rsidP="00BF7DCC">
      <w:pPr>
        <w:spacing w:line="240" w:lineRule="auto"/>
        <w:rPr>
          <w:sz w:val="20"/>
          <w:szCs w:val="20"/>
        </w:rPr>
      </w:pPr>
    </w:p>
    <w:p w:rsidR="00D31B46" w:rsidRPr="00D60728" w:rsidRDefault="00D31B46"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853EA3" w:rsidRPr="00707212" w:rsidTr="00D31B46">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Obrazovanje u području energetske učinkovitosti</w:t>
            </w:r>
          </w:p>
        </w:tc>
      </w:tr>
      <w:tr w:rsidR="00853EA3" w:rsidRPr="00D60728" w:rsidTr="00D31B46">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MEN-11</w:t>
            </w:r>
          </w:p>
        </w:tc>
      </w:tr>
      <w:tr w:rsidR="00853EA3" w:rsidRPr="00D60728" w:rsidTr="00D31B46">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Obrazovna mjera</w:t>
            </w:r>
          </w:p>
        </w:tc>
      </w:tr>
      <w:tr w:rsidR="00853EA3" w:rsidRPr="00D60728" w:rsidTr="00D31B46">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D31B46" w:rsidRPr="00D60728">
              <w:rPr>
                <w:rFonts w:ascii="Times New Roman" w:hAnsi="Times New Roman"/>
                <w:i/>
                <w:iCs/>
                <w:sz w:val="20"/>
                <w:szCs w:val="20"/>
              </w:rPr>
              <w:t>20</w:t>
            </w:r>
            <w:r w:rsidRPr="00D60728">
              <w:rPr>
                <w:rFonts w:ascii="Times New Roman" w:hAnsi="Times New Roman"/>
                <w:i/>
                <w:iCs/>
                <w:sz w:val="20"/>
                <w:szCs w:val="20"/>
              </w:rPr>
              <w:t>.</w:t>
            </w:r>
          </w:p>
        </w:tc>
      </w:tr>
      <w:tr w:rsidR="00853EA3" w:rsidRPr="00D60728" w:rsidTr="00D31B46">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D31B46" w:rsidRPr="00D60728">
              <w:rPr>
                <w:rFonts w:ascii="Times New Roman" w:hAnsi="Times New Roman"/>
                <w:i/>
                <w:iCs/>
                <w:sz w:val="20"/>
                <w:szCs w:val="20"/>
              </w:rPr>
              <w:t>24</w:t>
            </w:r>
            <w:r w:rsidRPr="00D60728">
              <w:rPr>
                <w:rFonts w:ascii="Times New Roman" w:hAnsi="Times New Roman"/>
                <w:i/>
                <w:iCs/>
                <w:sz w:val="20"/>
                <w:szCs w:val="20"/>
              </w:rPr>
              <w:t>.</w:t>
            </w:r>
          </w:p>
        </w:tc>
      </w:tr>
      <w:tr w:rsidR="00D31B46" w:rsidRPr="00D60728" w:rsidTr="00707212">
        <w:trPr>
          <w:trHeight w:val="4382"/>
        </w:trPr>
        <w:tc>
          <w:tcPr>
            <w:tcW w:w="1129" w:type="dxa"/>
            <w:vMerge/>
            <w:vAlign w:val="center"/>
            <w:hideMark/>
          </w:tcPr>
          <w:p w:rsidR="00D31B46" w:rsidRPr="00D60728" w:rsidRDefault="00D31B46" w:rsidP="00BF7DCC">
            <w:pPr>
              <w:spacing w:line="240" w:lineRule="auto"/>
              <w:jc w:val="left"/>
              <w:rPr>
                <w:rFonts w:ascii="Times New Roman" w:hAnsi="Times New Roman"/>
                <w:sz w:val="20"/>
                <w:szCs w:val="20"/>
              </w:rPr>
            </w:pPr>
          </w:p>
        </w:tc>
        <w:tc>
          <w:tcPr>
            <w:tcW w:w="1418" w:type="dxa"/>
            <w:vAlign w:val="center"/>
          </w:tcPr>
          <w:p w:rsidR="00D31B46" w:rsidRPr="00D60728" w:rsidRDefault="00D31B46"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D31B46" w:rsidRPr="00D60728" w:rsidRDefault="00D31B46" w:rsidP="00BF7DCC">
            <w:pPr>
              <w:spacing w:line="240" w:lineRule="auto"/>
              <w:rPr>
                <w:rFonts w:ascii="Times New Roman" w:hAnsi="Times New Roman"/>
                <w:i/>
                <w:iCs/>
                <w:sz w:val="20"/>
                <w:szCs w:val="20"/>
              </w:rPr>
            </w:pPr>
            <w:r w:rsidRPr="00D60728">
              <w:rPr>
                <w:rFonts w:ascii="Times New Roman" w:hAnsi="Times New Roman"/>
                <w:i/>
                <w:iCs/>
                <w:sz w:val="20"/>
                <w:szCs w:val="20"/>
              </w:rPr>
              <w:t>Osposobljavanje će se ostvariti kroz nastavak provedbe postojeće mjere te prilagođavanje aktivnosti potrebama i stvarnoj situaciji. Poglavito je važno sustavno raditi na privlačenju mladih ljudi u građevinska i ostala tehnička zanimanja, što će dugoročno doprinijeti raspoloživosti stručnih kapaciteta za provedbu energetske obnove zgrada, koja je temelj za postizanje zacrtanih energetsko-klimatskih ciljeva. Kroz obrazovanje u području energetske učinkovitosti postavit će se i primjenjivati principi zelene gradnje: potrebno je potaknuti promicanje i implementaciju zelene gradnje (gradnje po principima održivosti) kao bitnog segmenta održivog razvoja i kružne ekonomije. Potrebno je osnažiti i pružiti potporu do sad donesenim politikama RH na području održivog razvitka, energetske učinkovitosti i nacionalnih smjernica za vrsnoću i kulturu građenja (ApolitikA), primjenjivati najbolje globalne standarde zelene gradnje (npr. međunarodne certifikate zelene gradnje), razvijati nacionalni sustav zelene gradnje, te jačati svijest o neiskorištenim prilikama i rizicima (ako ne provodimo) i svekolikim prilikama (ako provodimo) koje nastaju primjenom principa zelene gradnje na pojedinca i zajednicu u cjelini, na privatni i društveni sektor gospodarstva i ulaganja.</w:t>
            </w:r>
          </w:p>
        </w:tc>
      </w:tr>
      <w:tr w:rsidR="00853EA3" w:rsidRPr="00D60728" w:rsidTr="00D31B46">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ListParagraph"/>
              <w:numPr>
                <w:ilvl w:val="0"/>
                <w:numId w:val="60"/>
              </w:numPr>
              <w:spacing w:line="240" w:lineRule="auto"/>
              <w:ind w:left="284" w:hanging="284"/>
              <w:rPr>
                <w:rFonts w:ascii="Times New Roman" w:hAnsi="Times New Roman"/>
                <w:i/>
                <w:sz w:val="20"/>
                <w:szCs w:val="20"/>
              </w:rPr>
            </w:pPr>
            <w:r w:rsidRPr="00D60728">
              <w:rPr>
                <w:rFonts w:ascii="Times New Roman" w:hAnsi="Times New Roman"/>
                <w:i/>
                <w:sz w:val="20"/>
                <w:szCs w:val="20"/>
              </w:rPr>
              <w:t>Predviđa se daljnja implementacija sustava kontinuirane izobrazbe i certifikacije građevinskih radnika - putem ovlaštenih CROSKILLS trening centara, a prema Pravilniku o sustavu izobrazbe i certificiranja građevinskih radnika koji ugrađuju dijelove zgrade koji utječu na energetsku učinkovitost u zgradarstvu. Ovo treba dovesti do povećane primjene energetske učinkovitosti i obnovljivih izvora energije u svakodnevnoj graditeljskoj praksi i povećane potražnje za educiranom radnom snagom, a putem povećanja praktičnih znanja radnika koji rade na licu mjesta i koji su specijalizirani za sve faze gradnje građevine i postupaka njezinog održavanja;</w:t>
            </w:r>
          </w:p>
          <w:p w:rsidR="00853EA3" w:rsidRPr="00D60728" w:rsidRDefault="00853EA3" w:rsidP="00BF7DCC">
            <w:pPr>
              <w:pStyle w:val="ListParagraph"/>
              <w:numPr>
                <w:ilvl w:val="0"/>
                <w:numId w:val="60"/>
              </w:numPr>
              <w:spacing w:line="240" w:lineRule="auto"/>
              <w:ind w:left="284" w:hanging="284"/>
              <w:rPr>
                <w:rFonts w:ascii="Times New Roman" w:hAnsi="Times New Roman"/>
                <w:i/>
                <w:sz w:val="20"/>
                <w:szCs w:val="20"/>
              </w:rPr>
            </w:pPr>
            <w:r w:rsidRPr="00D60728">
              <w:rPr>
                <w:rFonts w:ascii="Times New Roman" w:hAnsi="Times New Roman"/>
                <w:i/>
                <w:sz w:val="20"/>
                <w:szCs w:val="20"/>
              </w:rPr>
              <w:t>Predviđa se provedba edukacijskih aktivnosti usmjerenih na principe zelene gradnje (aktivnostima u prethodnom razdoblju izradit će se Vodič i smjernice o zelenoj i održivoj gradnji te smjernica za RH certifikat Zelene gradnje pa će se sve aktivnosti u razdoblju od 2021. godine nadalje temeljiti na ovim smjernicama).</w:t>
            </w:r>
          </w:p>
        </w:tc>
      </w:tr>
      <w:tr w:rsidR="006D2D7C" w:rsidRPr="00D60728" w:rsidTr="006D2D7C">
        <w:trPr>
          <w:trHeight w:val="1474"/>
        </w:trPr>
        <w:tc>
          <w:tcPr>
            <w:tcW w:w="1129" w:type="dxa"/>
            <w:vMerge/>
            <w:vAlign w:val="center"/>
            <w:hideMark/>
          </w:tcPr>
          <w:p w:rsidR="006D2D7C" w:rsidRPr="00D60728" w:rsidRDefault="006D2D7C" w:rsidP="00BF7DCC">
            <w:pPr>
              <w:spacing w:line="240" w:lineRule="auto"/>
              <w:jc w:val="left"/>
              <w:rPr>
                <w:rFonts w:ascii="Times New Roman" w:hAnsi="Times New Roman"/>
                <w:sz w:val="20"/>
                <w:szCs w:val="20"/>
              </w:rPr>
            </w:pPr>
          </w:p>
        </w:tc>
        <w:tc>
          <w:tcPr>
            <w:tcW w:w="1418" w:type="dxa"/>
            <w:vAlign w:val="center"/>
            <w:hideMark/>
          </w:tcPr>
          <w:p w:rsidR="006D2D7C" w:rsidRPr="00D60728" w:rsidRDefault="006D2D7C"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6D2D7C" w:rsidRPr="00D60728" w:rsidRDefault="006D2D7C"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ASOO – sufinanciranje trening centara za provedbu izobrazbe radnika; </w:t>
            </w:r>
          </w:p>
          <w:p w:rsidR="006D2D7C" w:rsidRPr="00D60728" w:rsidRDefault="006D2D7C"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HZZ – sufinanciranje izobrazbe/prekvalifikacije nezaposlenih; </w:t>
            </w:r>
          </w:p>
          <w:p w:rsidR="006D2D7C" w:rsidRPr="00D60728" w:rsidRDefault="006D2D7C"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Građevinski fakultet u Zagrebu, u okviru projekta CROSKILLS; </w:t>
            </w:r>
          </w:p>
          <w:p w:rsidR="006D2D7C" w:rsidRPr="00D60728" w:rsidRDefault="006D2D7C" w:rsidP="00BF7DCC">
            <w:pPr>
              <w:spacing w:line="240" w:lineRule="auto"/>
              <w:rPr>
                <w:rFonts w:ascii="Times New Roman" w:hAnsi="Times New Roman"/>
                <w:i/>
                <w:iCs/>
                <w:sz w:val="20"/>
                <w:szCs w:val="20"/>
              </w:rPr>
            </w:pPr>
            <w:r w:rsidRPr="00D60728">
              <w:rPr>
                <w:rFonts w:ascii="Times New Roman" w:hAnsi="Times New Roman"/>
                <w:i/>
                <w:iCs/>
                <w:sz w:val="20"/>
                <w:szCs w:val="20"/>
              </w:rPr>
              <w:t>MGIPU – postavljanje i primjena principa zelene gradnje u suradnji s Hrvatskim savjetom za zelenu gradnju i Arhitektonskim fakultetom (AF)</w:t>
            </w:r>
          </w:p>
        </w:tc>
      </w:tr>
      <w:tr w:rsidR="00853EA3" w:rsidRPr="00D60728" w:rsidTr="00D31B46">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Sredstva potrebna za provedbu svih predviđenih aktivnosti potrebno je utvrditi na temelju rezultata i preporuka CROSKILLS trening centara</w:t>
            </w:r>
          </w:p>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ESI fondovi za jačanje ljudskih potencijala, s ciljem integracije principa zelene i održive gradnje te kružne ekonomije u postojeće sustave strukovnog obrazovanja, obrazovanja odraslih i cjeloživotnog obrazovanja.</w:t>
            </w:r>
          </w:p>
        </w:tc>
      </w:tr>
      <w:tr w:rsidR="00A60C3B" w:rsidRPr="00D60728" w:rsidTr="00A60C3B">
        <w:trPr>
          <w:trHeight w:val="624"/>
        </w:trPr>
        <w:tc>
          <w:tcPr>
            <w:tcW w:w="1129" w:type="dxa"/>
            <w:vMerge w:val="restart"/>
            <w:vAlign w:val="center"/>
            <w:hideMark/>
          </w:tcPr>
          <w:p w:rsidR="00A60C3B" w:rsidRPr="00D60728" w:rsidRDefault="00A60C3B" w:rsidP="00BF7DCC">
            <w:pPr>
              <w:spacing w:line="240" w:lineRule="auto"/>
              <w:jc w:val="left"/>
              <w:rPr>
                <w:rFonts w:ascii="Times New Roman" w:hAnsi="Times New Roman"/>
                <w:sz w:val="20"/>
                <w:szCs w:val="20"/>
              </w:rPr>
            </w:pPr>
            <w:r w:rsidRPr="00D60728">
              <w:rPr>
                <w:rFonts w:ascii="Times New Roman" w:hAnsi="Times New Roman"/>
                <w:sz w:val="20"/>
                <w:szCs w:val="20"/>
              </w:rPr>
              <w:lastRenderedPageBreak/>
              <w:t>Praćenje provedbe</w:t>
            </w:r>
          </w:p>
        </w:tc>
        <w:tc>
          <w:tcPr>
            <w:tcW w:w="1418" w:type="dxa"/>
            <w:vAlign w:val="center"/>
          </w:tcPr>
          <w:p w:rsidR="00A60C3B" w:rsidRPr="00D60728" w:rsidRDefault="00A60C3B"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A60C3B" w:rsidRPr="00D60728" w:rsidRDefault="00A60C3B"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Raspoloživi stručni kapaciteti za provedbu mjera energetske učinkovitosti</w:t>
            </w:r>
          </w:p>
        </w:tc>
      </w:tr>
      <w:tr w:rsidR="00A60C3B" w:rsidRPr="00D60728" w:rsidTr="009B6F17">
        <w:trPr>
          <w:trHeight w:val="1120"/>
        </w:trPr>
        <w:tc>
          <w:tcPr>
            <w:tcW w:w="1129" w:type="dxa"/>
            <w:vMerge/>
            <w:vAlign w:val="center"/>
            <w:hideMark/>
          </w:tcPr>
          <w:p w:rsidR="00A60C3B" w:rsidRPr="00D60728" w:rsidRDefault="00A60C3B" w:rsidP="00BF7DCC">
            <w:pPr>
              <w:spacing w:line="240" w:lineRule="auto"/>
              <w:jc w:val="left"/>
              <w:rPr>
                <w:rFonts w:ascii="Times New Roman" w:hAnsi="Times New Roman"/>
                <w:sz w:val="20"/>
                <w:szCs w:val="20"/>
              </w:rPr>
            </w:pPr>
          </w:p>
        </w:tc>
        <w:tc>
          <w:tcPr>
            <w:tcW w:w="1418" w:type="dxa"/>
            <w:vAlign w:val="center"/>
          </w:tcPr>
          <w:p w:rsidR="00A60C3B" w:rsidRPr="00D60728" w:rsidRDefault="00A60C3B"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A60C3B" w:rsidRPr="00D60728" w:rsidRDefault="00A60C3B"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Prati se broj obrazovanih stručnjaka u sklopu uspostavljenih obrazovnih programa / trening centara.</w:t>
            </w:r>
          </w:p>
        </w:tc>
      </w:tr>
    </w:tbl>
    <w:p w:rsidR="00853EA3" w:rsidRPr="00D60728" w:rsidRDefault="00853EA3" w:rsidP="00BF7DCC">
      <w:pPr>
        <w:spacing w:line="240" w:lineRule="auto"/>
        <w:rPr>
          <w:sz w:val="20"/>
          <w:szCs w:val="20"/>
        </w:rPr>
      </w:pPr>
    </w:p>
    <w:p w:rsidR="00A60C3B" w:rsidRPr="00D60728" w:rsidRDefault="00A60C3B"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853EA3" w:rsidRPr="00707212" w:rsidTr="00F90557">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Energetska učinkovitost elektroenergetskog prijenosnog sustava</w:t>
            </w:r>
          </w:p>
        </w:tc>
      </w:tr>
      <w:tr w:rsidR="00853EA3" w:rsidRPr="00D60728" w:rsidTr="00F90557">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MEN-12</w:t>
            </w:r>
          </w:p>
        </w:tc>
      </w:tr>
      <w:tr w:rsidR="00853EA3" w:rsidRPr="00D60728" w:rsidTr="00F90557">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i organizacijska mjera</w:t>
            </w:r>
          </w:p>
        </w:tc>
      </w:tr>
      <w:tr w:rsidR="00853EA3" w:rsidRPr="00D60728" w:rsidTr="00F90557">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2F357D" w:rsidRPr="00D60728">
              <w:rPr>
                <w:rFonts w:ascii="Times New Roman" w:hAnsi="Times New Roman"/>
                <w:i/>
                <w:iCs/>
                <w:sz w:val="20"/>
                <w:szCs w:val="20"/>
              </w:rPr>
              <w:t>20</w:t>
            </w:r>
            <w:r w:rsidRPr="00D60728">
              <w:rPr>
                <w:rFonts w:ascii="Times New Roman" w:hAnsi="Times New Roman"/>
                <w:i/>
                <w:iCs/>
                <w:sz w:val="20"/>
                <w:szCs w:val="20"/>
              </w:rPr>
              <w:t>.</w:t>
            </w:r>
          </w:p>
        </w:tc>
      </w:tr>
      <w:tr w:rsidR="00853EA3" w:rsidRPr="00D60728" w:rsidTr="00F90557">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2F357D"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r w:rsidR="00853EA3" w:rsidRPr="00D60728">
              <w:rPr>
                <w:rFonts w:ascii="Times New Roman" w:hAnsi="Times New Roman"/>
                <w:i/>
                <w:iCs/>
                <w:sz w:val="20"/>
                <w:szCs w:val="20"/>
              </w:rPr>
              <w:t>.</w:t>
            </w:r>
          </w:p>
        </w:tc>
      </w:tr>
      <w:tr w:rsidR="00853EA3" w:rsidRPr="00D60728" w:rsidTr="00F90557">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FFFFFF" w:themeFill="background1"/>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Smanjenje gubitaka u prijenosnoj elektroenergetskoj mreži</w:t>
            </w:r>
          </w:p>
        </w:tc>
      </w:tr>
      <w:tr w:rsidR="006B532D" w:rsidRPr="00D60728" w:rsidTr="00F90557">
        <w:trPr>
          <w:trHeight w:val="4762"/>
        </w:trPr>
        <w:tc>
          <w:tcPr>
            <w:tcW w:w="1129" w:type="dxa"/>
            <w:vMerge/>
            <w:vAlign w:val="center"/>
          </w:tcPr>
          <w:p w:rsidR="006B532D" w:rsidRPr="00D60728" w:rsidRDefault="006B532D" w:rsidP="00BF7DCC">
            <w:pPr>
              <w:spacing w:line="240" w:lineRule="auto"/>
              <w:jc w:val="left"/>
              <w:rPr>
                <w:rFonts w:ascii="Times New Roman" w:hAnsi="Times New Roman"/>
                <w:sz w:val="20"/>
                <w:szCs w:val="20"/>
              </w:rPr>
            </w:pPr>
          </w:p>
        </w:tc>
        <w:tc>
          <w:tcPr>
            <w:tcW w:w="1418" w:type="dxa"/>
            <w:vAlign w:val="center"/>
          </w:tcPr>
          <w:p w:rsidR="006B532D" w:rsidRPr="00D60728" w:rsidRDefault="006B532D"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6B532D" w:rsidRPr="00D60728" w:rsidRDefault="006B532D" w:rsidP="00BF7DCC">
            <w:pPr>
              <w:spacing w:line="240" w:lineRule="auto"/>
              <w:rPr>
                <w:rFonts w:ascii="Times New Roman" w:hAnsi="Times New Roman"/>
                <w:i/>
                <w:iCs/>
                <w:sz w:val="20"/>
                <w:szCs w:val="20"/>
              </w:rPr>
            </w:pPr>
            <w:r w:rsidRPr="00D60728">
              <w:rPr>
                <w:rFonts w:ascii="Times New Roman" w:hAnsi="Times New Roman"/>
                <w:i/>
                <w:iCs/>
                <w:sz w:val="20"/>
                <w:szCs w:val="20"/>
              </w:rPr>
              <w:t>Sadašnje razine gubitaka u prijenosnoj mreži RH iznose oko 2 % prenesene električne energije, što je iznos na razini ostalih operatora prijenosnog sustava ENTSO-E. Važna karakteristika hrvatske prijenosne mreže, kako s aspekta sigurnosti pogona i podržavanja tržišnih aktivnosti, tako i s aspekta gubitaka je izuzetno jaka povezanost sa susjednim elektroenergetskim sustavima (interkonekcije). Dok se s jedne strane time značajno povećava sigurnost pogona, s druge strane se zbog tranzita povećavaju gubici u mreži. HOPS će u razdoblju do 2030. godine nastaviti provoditi mjere vezane za vođenje pogona EES-a i mjere vezane uz razvoj prijenosne mreže, sve s ciljem daljnjeg smanjenja tehničkih gubitaka u mreži. Za ovu se mjeru predlaže, uz osiguravanje sredstava od strane HOPS-a, programirati korištenje ESI sredstava u sljedećem programskom razdoblju od 2021. do 2027. godine.</w:t>
            </w:r>
          </w:p>
          <w:p w:rsidR="006B532D" w:rsidRPr="00D60728" w:rsidRDefault="006B532D" w:rsidP="00BF7DCC">
            <w:pPr>
              <w:spacing w:line="240" w:lineRule="auto"/>
              <w:rPr>
                <w:rFonts w:ascii="Times New Roman" w:hAnsi="Times New Roman"/>
                <w:i/>
                <w:iCs/>
                <w:sz w:val="20"/>
                <w:szCs w:val="20"/>
              </w:rPr>
            </w:pPr>
            <w:r w:rsidRPr="00D60728">
              <w:rPr>
                <w:rFonts w:ascii="Times New Roman" w:hAnsi="Times New Roman"/>
                <w:i/>
                <w:iCs/>
                <w:sz w:val="20"/>
                <w:szCs w:val="20"/>
              </w:rPr>
              <w:t>Zamjenom starije opreme novom sa smanjenim iznosom gubitaka postiže se smanjenje ukupnih gubitaka na razini sustava. Do daljnjeg smanjenja gubitaka u budućnosti može doći razvojem novih i energetski efikasnijih tehnologija, te daljnjom revitalizacijom i izgradnjom mreže koristeći vodiče najnovije generacije s manjim električnim otporom, odnosno manjim gubicima.</w:t>
            </w:r>
          </w:p>
        </w:tc>
      </w:tr>
      <w:tr w:rsidR="00853EA3" w:rsidRPr="00D60728" w:rsidTr="00F90557">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ListParagraph"/>
              <w:numPr>
                <w:ilvl w:val="0"/>
                <w:numId w:val="6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Mjere vezane za vođenje pogona EES-a: topološke promjene u mreži ovisno o trenutnom pogonskom stanju; promjenu uklopnog stanja transformatora 400/220 kV, 400/110 kV, 220/110 kV i 110/x kV u vlasništvu/nadležnosti HOPS-a i optimiranje rada transformatora s kosom regulacijom (TS Žerjavinec, TS-HE Senj); upravljanje naponima i optimiranje tokova snaga u mreži; optimiranje rada generatora (radne točke s faktorom snage u granicama 0,95 -1). </w:t>
            </w:r>
          </w:p>
          <w:p w:rsidR="00853EA3" w:rsidRPr="00D60728" w:rsidRDefault="00853EA3" w:rsidP="00BF7DCC">
            <w:pPr>
              <w:pStyle w:val="ListParagraph"/>
              <w:numPr>
                <w:ilvl w:val="0"/>
                <w:numId w:val="6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Mjere vezane uz kratkoročni i dugoročni razvoj prijenosne mreže uključuju: zamjene starih energetskih transformatora s novim transformatorima manjih gubitaka (zamjena 10% najstarijih transformatora u mreži koje je odgovorno za oko 20 % ukupnih fiksnih gubitaka u transformacijama i oko 15 % ukupnih varijabilnih gubitaka u transformacijama); revitalizacije starih dalekovoda sa zamjenom vodiča (zamjena postojećih vodova novim s većim presjekom direktno smanjuje otpor vodiča, te time pozitivno utječe za smanjenje iznosa tehničkih gubitaka uslijed opterećenja (varijabilni dio gubitaka)), upotrebom </w:t>
            </w:r>
            <w:r w:rsidRPr="00D60728">
              <w:rPr>
                <w:rFonts w:ascii="Times New Roman" w:hAnsi="Times New Roman"/>
                <w:i/>
                <w:sz w:val="20"/>
                <w:szCs w:val="20"/>
              </w:rPr>
              <w:lastRenderedPageBreak/>
              <w:t>HTLS vodiča s većim presjekom aluminijskog plašta odnosno manjim gubicima; planirana pojačanja prijenosne mreže (izgradnja novih vodova).</w:t>
            </w:r>
          </w:p>
        </w:tc>
      </w:tr>
      <w:tr w:rsidR="002D0F69" w:rsidRPr="00D60728" w:rsidTr="00F90557">
        <w:trPr>
          <w:trHeight w:val="624"/>
        </w:trPr>
        <w:tc>
          <w:tcPr>
            <w:tcW w:w="1129" w:type="dxa"/>
            <w:vMerge/>
            <w:vAlign w:val="center"/>
            <w:hideMark/>
          </w:tcPr>
          <w:p w:rsidR="002D0F69" w:rsidRPr="00D60728" w:rsidRDefault="002D0F69" w:rsidP="00BF7DCC">
            <w:pPr>
              <w:spacing w:line="240" w:lineRule="auto"/>
              <w:jc w:val="left"/>
              <w:rPr>
                <w:rFonts w:ascii="Times New Roman" w:hAnsi="Times New Roman"/>
                <w:sz w:val="20"/>
                <w:szCs w:val="20"/>
              </w:rPr>
            </w:pPr>
          </w:p>
        </w:tc>
        <w:tc>
          <w:tcPr>
            <w:tcW w:w="1418" w:type="dxa"/>
            <w:vAlign w:val="center"/>
            <w:hideMark/>
          </w:tcPr>
          <w:p w:rsidR="002D0F69" w:rsidRPr="00D60728" w:rsidRDefault="002D0F69"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2D0F69" w:rsidRPr="00D60728" w:rsidRDefault="002D0F69" w:rsidP="00BF7DCC">
            <w:pPr>
              <w:spacing w:line="240" w:lineRule="auto"/>
              <w:rPr>
                <w:rFonts w:ascii="Times New Roman" w:hAnsi="Times New Roman"/>
                <w:i/>
                <w:iCs/>
                <w:sz w:val="20"/>
                <w:szCs w:val="20"/>
              </w:rPr>
            </w:pPr>
            <w:r w:rsidRPr="00D60728">
              <w:rPr>
                <w:rFonts w:ascii="Times New Roman" w:hAnsi="Times New Roman"/>
                <w:i/>
                <w:iCs/>
                <w:sz w:val="20"/>
                <w:szCs w:val="20"/>
              </w:rPr>
              <w:t>HOPS</w:t>
            </w:r>
          </w:p>
        </w:tc>
      </w:tr>
      <w:tr w:rsidR="00853EA3" w:rsidRPr="00D60728" w:rsidTr="00F90557">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ListParagraph"/>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Sredstva HOPS-a: 1.831.163.263 kn (ukupno)</w:t>
            </w:r>
          </w:p>
          <w:p w:rsidR="00853EA3" w:rsidRPr="00D60728" w:rsidRDefault="00853EA3" w:rsidP="00BF7DCC">
            <w:pPr>
              <w:pStyle w:val="ListParagraph"/>
              <w:numPr>
                <w:ilvl w:val="0"/>
                <w:numId w:val="32"/>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ESI fondovi: 2.683.000.000 kn (ukupno)</w:t>
            </w:r>
          </w:p>
          <w:p w:rsidR="00853EA3" w:rsidRPr="00D60728" w:rsidRDefault="00853EA3" w:rsidP="00BF7DCC">
            <w:pPr>
              <w:pStyle w:val="ListParagraph"/>
              <w:numPr>
                <w:ilvl w:val="0"/>
                <w:numId w:val="32"/>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Očekivani doprinos iz ESI fondova iznos 25 do 50%, što znači između 670.750.000 i 1.341.500.000 kn.</w:t>
            </w:r>
          </w:p>
        </w:tc>
      </w:tr>
      <w:tr w:rsidR="002D0F69" w:rsidRPr="00D60728" w:rsidTr="00F90557">
        <w:trPr>
          <w:trHeight w:val="1247"/>
        </w:trPr>
        <w:tc>
          <w:tcPr>
            <w:tcW w:w="1129" w:type="dxa"/>
            <w:vMerge w:val="restart"/>
            <w:vAlign w:val="center"/>
            <w:hideMark/>
          </w:tcPr>
          <w:p w:rsidR="002D0F69" w:rsidRPr="00D60728" w:rsidRDefault="002D0F69"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2D0F69" w:rsidRPr="00D60728" w:rsidRDefault="002D0F69"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2D0F69" w:rsidRPr="00D60728" w:rsidRDefault="002D0F69"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2030. 19,0 ktCO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p w:rsidR="002D0F69" w:rsidRPr="00D60728" w:rsidRDefault="002D0F69"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Kumulativne uštede energije u razdoblju 2021.-2030. 124,1 ktoe (5,2 PJ; 1.443 GWh); </w:t>
            </w:r>
          </w:p>
          <w:p w:rsidR="002D0F69" w:rsidRPr="00D60728" w:rsidRDefault="002D0F69"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Kumulativno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razdoblju 2021.-2030. 165,8 ktCO</w:t>
            </w:r>
            <w:r w:rsidRPr="00D60728">
              <w:rPr>
                <w:rFonts w:ascii="Times New Roman" w:hAnsi="Times New Roman"/>
                <w:i/>
                <w:iCs/>
                <w:sz w:val="20"/>
                <w:szCs w:val="20"/>
                <w:vertAlign w:val="subscript"/>
              </w:rPr>
              <w:t>2e</w:t>
            </w:r>
          </w:p>
        </w:tc>
      </w:tr>
      <w:tr w:rsidR="002D0F69" w:rsidRPr="00D60728" w:rsidTr="00F90557">
        <w:trPr>
          <w:trHeight w:val="907"/>
        </w:trPr>
        <w:tc>
          <w:tcPr>
            <w:tcW w:w="1129" w:type="dxa"/>
            <w:vMerge/>
            <w:vAlign w:val="center"/>
            <w:hideMark/>
          </w:tcPr>
          <w:p w:rsidR="002D0F69" w:rsidRPr="00D60728" w:rsidRDefault="002D0F69" w:rsidP="00BF7DCC">
            <w:pPr>
              <w:spacing w:line="240" w:lineRule="auto"/>
              <w:jc w:val="left"/>
              <w:rPr>
                <w:rFonts w:ascii="Times New Roman" w:hAnsi="Times New Roman"/>
                <w:sz w:val="20"/>
                <w:szCs w:val="20"/>
              </w:rPr>
            </w:pPr>
          </w:p>
        </w:tc>
        <w:tc>
          <w:tcPr>
            <w:tcW w:w="1418" w:type="dxa"/>
            <w:vAlign w:val="center"/>
          </w:tcPr>
          <w:p w:rsidR="002D0F69" w:rsidRPr="00D60728" w:rsidRDefault="002D0F69"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2D0F69" w:rsidRPr="00D60728" w:rsidRDefault="002D0F69"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Praćenje učinaka ove mjere ostvaruje se na temelju podataka o ostvarenim gubicima električne energije prije i poslije provedbe mjere uz normalizaciju prema iznosu i trajanju opterećenja</w:t>
            </w:r>
          </w:p>
        </w:tc>
      </w:tr>
    </w:tbl>
    <w:p w:rsidR="00853EA3" w:rsidRPr="00D60728" w:rsidRDefault="00853EA3" w:rsidP="00BF7DCC">
      <w:pPr>
        <w:spacing w:line="240" w:lineRule="auto"/>
        <w:rPr>
          <w:sz w:val="20"/>
          <w:szCs w:val="20"/>
        </w:rPr>
      </w:pPr>
    </w:p>
    <w:p w:rsidR="00F90557" w:rsidRPr="00D60728" w:rsidRDefault="00F90557"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853EA3" w:rsidRPr="00707212" w:rsidTr="00F90557">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Smanjenje gubitaka u distribucijskoj elektroenergetskoj mreži i uvođenje naprednih mreža</w:t>
            </w:r>
          </w:p>
        </w:tc>
      </w:tr>
      <w:tr w:rsidR="00853EA3" w:rsidRPr="00D60728" w:rsidTr="00F90557">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MEN-13</w:t>
            </w:r>
          </w:p>
        </w:tc>
      </w:tr>
      <w:tr w:rsidR="00853EA3" w:rsidRPr="00D60728" w:rsidTr="00F90557">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i organizacijska mjera</w:t>
            </w:r>
          </w:p>
        </w:tc>
      </w:tr>
      <w:tr w:rsidR="00853EA3" w:rsidRPr="00D60728" w:rsidTr="00F90557">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950B06" w:rsidRPr="00D60728">
              <w:rPr>
                <w:rFonts w:ascii="Times New Roman" w:hAnsi="Times New Roman"/>
                <w:i/>
                <w:iCs/>
                <w:sz w:val="20"/>
                <w:szCs w:val="20"/>
              </w:rPr>
              <w:t>0</w:t>
            </w:r>
            <w:r w:rsidRPr="00D60728">
              <w:rPr>
                <w:rFonts w:ascii="Times New Roman" w:hAnsi="Times New Roman"/>
                <w:i/>
                <w:iCs/>
                <w:sz w:val="20"/>
                <w:szCs w:val="20"/>
              </w:rPr>
              <w:t>.</w:t>
            </w:r>
          </w:p>
        </w:tc>
      </w:tr>
      <w:tr w:rsidR="00853EA3" w:rsidRPr="00D60728" w:rsidTr="00F90557">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950B06" w:rsidRPr="00D60728">
              <w:rPr>
                <w:rFonts w:ascii="Times New Roman" w:hAnsi="Times New Roman"/>
                <w:i/>
                <w:iCs/>
                <w:sz w:val="20"/>
                <w:szCs w:val="20"/>
              </w:rPr>
              <w:t>24</w:t>
            </w:r>
            <w:r w:rsidRPr="00D60728">
              <w:rPr>
                <w:rFonts w:ascii="Times New Roman" w:hAnsi="Times New Roman"/>
                <w:i/>
                <w:iCs/>
                <w:sz w:val="20"/>
                <w:szCs w:val="20"/>
              </w:rPr>
              <w:t>.</w:t>
            </w:r>
          </w:p>
        </w:tc>
      </w:tr>
      <w:tr w:rsidR="00853EA3" w:rsidRPr="00D60728" w:rsidTr="00F90557">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FFFFFF" w:themeFill="background1"/>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Smanjenje gubitaka u distribucijskoj elektroenergetskoj mreži</w:t>
            </w:r>
          </w:p>
        </w:tc>
      </w:tr>
      <w:tr w:rsidR="00950B06" w:rsidRPr="00D60728" w:rsidTr="00950B06">
        <w:trPr>
          <w:trHeight w:val="2324"/>
        </w:trPr>
        <w:tc>
          <w:tcPr>
            <w:tcW w:w="1129" w:type="dxa"/>
            <w:vMerge/>
            <w:vAlign w:val="center"/>
          </w:tcPr>
          <w:p w:rsidR="00950B06" w:rsidRPr="00D60728" w:rsidRDefault="00950B06" w:rsidP="00BF7DCC">
            <w:pPr>
              <w:spacing w:line="240" w:lineRule="auto"/>
              <w:jc w:val="left"/>
              <w:rPr>
                <w:rFonts w:ascii="Times New Roman" w:hAnsi="Times New Roman"/>
                <w:sz w:val="20"/>
                <w:szCs w:val="20"/>
              </w:rPr>
            </w:pPr>
          </w:p>
        </w:tc>
        <w:tc>
          <w:tcPr>
            <w:tcW w:w="1418" w:type="dxa"/>
            <w:vAlign w:val="center"/>
          </w:tcPr>
          <w:p w:rsidR="00950B06" w:rsidRPr="00D60728" w:rsidRDefault="00950B06"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950B06" w:rsidRPr="00D60728" w:rsidRDefault="00950B06" w:rsidP="00BF7DCC">
            <w:pPr>
              <w:spacing w:line="240" w:lineRule="auto"/>
              <w:rPr>
                <w:rFonts w:ascii="Times New Roman" w:hAnsi="Times New Roman"/>
                <w:i/>
                <w:iCs/>
                <w:sz w:val="20"/>
                <w:szCs w:val="20"/>
              </w:rPr>
            </w:pPr>
            <w:r w:rsidRPr="00D60728">
              <w:rPr>
                <w:rFonts w:ascii="Times New Roman" w:hAnsi="Times New Roman"/>
                <w:i/>
                <w:iCs/>
                <w:sz w:val="20"/>
                <w:szCs w:val="20"/>
              </w:rPr>
              <w:t>HEP-ODS će u razdoblju do 2030. godine nastaviti provoditi aktivnosti za smanjenje tehničkih i netehničkih gubitaka u distribucijskoj elektroenergetskoj mreži. Detaljnom analizom utvrdit će se uzroci povećanih gubitaka u pojedinim dijelovima mreže i prioriteti za provedbu aktivnosti za smanjenje tehničkih i netehničkih gubitaka. Na temelju iskustava iz provedbe pilot projekta uvođenja naprednih mreža na pilot područjima uz korištenje ESI fondova, potrebno je programirati nastavak korištenja ESI sredstava u sljedećem programskom razdoblju od 2021. do 2027. godine za daljnji razvoj naprednih mreža.</w:t>
            </w:r>
          </w:p>
        </w:tc>
      </w:tr>
      <w:tr w:rsidR="00853EA3" w:rsidRPr="00D60728" w:rsidTr="00F90557">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ListParagraph"/>
              <w:numPr>
                <w:ilvl w:val="0"/>
                <w:numId w:val="67"/>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Aktivnosti smanjenja tehničkih gubitaka, koje uključuju: </w:t>
            </w:r>
          </w:p>
          <w:p w:rsidR="00853EA3" w:rsidRPr="00D60728" w:rsidRDefault="00853EA3" w:rsidP="00BF7DCC">
            <w:pPr>
              <w:pStyle w:val="ListParagraph"/>
              <w:numPr>
                <w:ilvl w:val="1"/>
                <w:numId w:val="67"/>
              </w:numPr>
              <w:spacing w:line="240" w:lineRule="auto"/>
              <w:ind w:left="568" w:hanging="284"/>
              <w:rPr>
                <w:rFonts w:ascii="Times New Roman" w:hAnsi="Times New Roman"/>
                <w:i/>
                <w:sz w:val="20"/>
                <w:szCs w:val="20"/>
              </w:rPr>
            </w:pPr>
            <w:r w:rsidRPr="00D60728">
              <w:rPr>
                <w:rFonts w:ascii="Times New Roman" w:hAnsi="Times New Roman"/>
                <w:i/>
                <w:sz w:val="20"/>
                <w:szCs w:val="20"/>
              </w:rPr>
              <w:t>povećanje presjeka vodiča u početnim dionicama SN i NN izvoda u kojima se generira najveći iznos gubitaka</w:t>
            </w:r>
          </w:p>
          <w:p w:rsidR="00853EA3" w:rsidRPr="00D60728" w:rsidRDefault="00853EA3" w:rsidP="00BF7DCC">
            <w:pPr>
              <w:pStyle w:val="ListParagraph"/>
              <w:numPr>
                <w:ilvl w:val="1"/>
                <w:numId w:val="67"/>
              </w:numPr>
              <w:spacing w:line="240" w:lineRule="auto"/>
              <w:ind w:left="568" w:hanging="284"/>
              <w:rPr>
                <w:rFonts w:ascii="Times New Roman" w:hAnsi="Times New Roman"/>
                <w:i/>
                <w:sz w:val="20"/>
                <w:szCs w:val="20"/>
              </w:rPr>
            </w:pPr>
            <w:r w:rsidRPr="00D60728">
              <w:rPr>
                <w:rFonts w:ascii="Times New Roman" w:hAnsi="Times New Roman"/>
                <w:i/>
                <w:sz w:val="20"/>
                <w:szCs w:val="20"/>
              </w:rPr>
              <w:t>razdvajanje SN i NN izvoda na dva ili više, ovisno o topologiji izvoda i mogućnostima prihvata u TS VN/SN i SN/SN ili TS SN/NN</w:t>
            </w:r>
          </w:p>
          <w:p w:rsidR="00853EA3" w:rsidRPr="00D60728" w:rsidRDefault="00853EA3" w:rsidP="00BF7DCC">
            <w:pPr>
              <w:pStyle w:val="ListParagraph"/>
              <w:numPr>
                <w:ilvl w:val="1"/>
                <w:numId w:val="67"/>
              </w:numPr>
              <w:spacing w:line="240" w:lineRule="auto"/>
              <w:ind w:left="568" w:hanging="284"/>
              <w:rPr>
                <w:rFonts w:ascii="Times New Roman" w:hAnsi="Times New Roman"/>
                <w:i/>
                <w:sz w:val="20"/>
                <w:szCs w:val="20"/>
              </w:rPr>
            </w:pPr>
            <w:r w:rsidRPr="00D60728">
              <w:rPr>
                <w:rFonts w:ascii="Times New Roman" w:hAnsi="Times New Roman"/>
                <w:i/>
                <w:sz w:val="20"/>
                <w:szCs w:val="20"/>
              </w:rPr>
              <w:t>prebacivanje dijela NN izvoda na susjedni bliži i/ili manje opterećeni NN izvod ili TS SN/NN</w:t>
            </w:r>
          </w:p>
          <w:p w:rsidR="00853EA3" w:rsidRPr="00D60728" w:rsidRDefault="00853EA3" w:rsidP="00BF7DCC">
            <w:pPr>
              <w:pStyle w:val="ListParagraph"/>
              <w:numPr>
                <w:ilvl w:val="1"/>
                <w:numId w:val="67"/>
              </w:numPr>
              <w:spacing w:line="240" w:lineRule="auto"/>
              <w:ind w:left="568" w:hanging="284"/>
              <w:rPr>
                <w:rFonts w:ascii="Times New Roman" w:hAnsi="Times New Roman"/>
                <w:i/>
                <w:sz w:val="20"/>
                <w:szCs w:val="20"/>
              </w:rPr>
            </w:pPr>
            <w:r w:rsidRPr="00D60728">
              <w:rPr>
                <w:rFonts w:ascii="Times New Roman" w:hAnsi="Times New Roman"/>
                <w:i/>
                <w:sz w:val="20"/>
                <w:szCs w:val="20"/>
              </w:rPr>
              <w:t>zamjenu energetskih transformatora VN/SN i SN/SN zbog preopterećenosti</w:t>
            </w:r>
          </w:p>
          <w:p w:rsidR="00853EA3" w:rsidRPr="00D60728" w:rsidRDefault="00853EA3" w:rsidP="00BF7DCC">
            <w:pPr>
              <w:pStyle w:val="ListParagraph"/>
              <w:numPr>
                <w:ilvl w:val="1"/>
                <w:numId w:val="67"/>
              </w:numPr>
              <w:spacing w:line="240" w:lineRule="auto"/>
              <w:ind w:left="568" w:hanging="284"/>
              <w:rPr>
                <w:rFonts w:ascii="Times New Roman" w:hAnsi="Times New Roman"/>
                <w:i/>
                <w:sz w:val="20"/>
                <w:szCs w:val="20"/>
              </w:rPr>
            </w:pPr>
            <w:r w:rsidRPr="00D60728">
              <w:rPr>
                <w:rFonts w:ascii="Times New Roman" w:hAnsi="Times New Roman"/>
                <w:i/>
                <w:sz w:val="20"/>
                <w:szCs w:val="20"/>
              </w:rPr>
              <w:t>zamjenu starih energetskih transformatora SN/NN, sa smanjenjem predimenzioniranosti transformatora</w:t>
            </w:r>
          </w:p>
          <w:p w:rsidR="00853EA3" w:rsidRPr="00D60728" w:rsidRDefault="00853EA3" w:rsidP="00BF7DCC">
            <w:pPr>
              <w:pStyle w:val="ListParagraph"/>
              <w:numPr>
                <w:ilvl w:val="1"/>
                <w:numId w:val="67"/>
              </w:numPr>
              <w:spacing w:line="240" w:lineRule="auto"/>
              <w:ind w:left="568" w:hanging="284"/>
              <w:rPr>
                <w:rFonts w:ascii="Times New Roman" w:hAnsi="Times New Roman"/>
                <w:i/>
                <w:sz w:val="20"/>
                <w:szCs w:val="20"/>
              </w:rPr>
            </w:pPr>
            <w:r w:rsidRPr="00D60728">
              <w:rPr>
                <w:rFonts w:ascii="Times New Roman" w:hAnsi="Times New Roman"/>
                <w:i/>
                <w:sz w:val="20"/>
                <w:szCs w:val="20"/>
              </w:rPr>
              <w:t>interpolaciju novih TS VN/SN, SN/SN i SN/NN (prvenstveno kod preopterećenja postojećih TS, odnosno kod priključenja novih kupaca i proizvođača s većim priključnim snagama)</w:t>
            </w:r>
          </w:p>
          <w:p w:rsidR="00853EA3" w:rsidRPr="00D60728" w:rsidRDefault="00853EA3" w:rsidP="00BF7DCC">
            <w:pPr>
              <w:pStyle w:val="ListParagraph"/>
              <w:numPr>
                <w:ilvl w:val="1"/>
                <w:numId w:val="67"/>
              </w:numPr>
              <w:spacing w:line="240" w:lineRule="auto"/>
              <w:ind w:left="568" w:hanging="284"/>
              <w:rPr>
                <w:rFonts w:ascii="Times New Roman" w:hAnsi="Times New Roman"/>
                <w:i/>
                <w:sz w:val="20"/>
                <w:szCs w:val="20"/>
              </w:rPr>
            </w:pPr>
            <w:r w:rsidRPr="00D60728">
              <w:rPr>
                <w:rFonts w:ascii="Times New Roman" w:hAnsi="Times New Roman"/>
                <w:i/>
                <w:sz w:val="20"/>
                <w:szCs w:val="20"/>
              </w:rPr>
              <w:lastRenderedPageBreak/>
              <w:t>prijelaz na 20 kV i postupno uvođenje izravne transformacije 110/10(20) kV</w:t>
            </w:r>
          </w:p>
          <w:p w:rsidR="00853EA3" w:rsidRPr="00D60728" w:rsidRDefault="00853EA3" w:rsidP="00BF7DCC">
            <w:pPr>
              <w:pStyle w:val="ListParagraph"/>
              <w:numPr>
                <w:ilvl w:val="0"/>
                <w:numId w:val="67"/>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Aktivnosti smanjenja netehničkih gubitaka, koje uključuju: </w:t>
            </w:r>
          </w:p>
          <w:p w:rsidR="00853EA3" w:rsidRPr="00D60728" w:rsidRDefault="00853EA3" w:rsidP="00BF7DCC">
            <w:pPr>
              <w:pStyle w:val="ListParagraph"/>
              <w:numPr>
                <w:ilvl w:val="1"/>
                <w:numId w:val="67"/>
              </w:numPr>
              <w:spacing w:line="240" w:lineRule="auto"/>
              <w:ind w:left="568" w:hanging="284"/>
              <w:rPr>
                <w:rFonts w:ascii="Times New Roman" w:hAnsi="Times New Roman"/>
                <w:i/>
                <w:sz w:val="20"/>
                <w:szCs w:val="20"/>
              </w:rPr>
            </w:pPr>
            <w:r w:rsidRPr="00D60728">
              <w:rPr>
                <w:rFonts w:ascii="Times New Roman" w:hAnsi="Times New Roman"/>
                <w:i/>
                <w:sz w:val="20"/>
                <w:szCs w:val="20"/>
              </w:rPr>
              <w:t xml:space="preserve">daljnju ugradnju i uvođenju što većeg broja naprednih brojila u sustav daljinskog nadzora i očitanja </w:t>
            </w:r>
          </w:p>
          <w:p w:rsidR="00853EA3" w:rsidRPr="00D60728" w:rsidRDefault="00853EA3" w:rsidP="00BF7DCC">
            <w:pPr>
              <w:pStyle w:val="ListParagraph"/>
              <w:numPr>
                <w:ilvl w:val="1"/>
                <w:numId w:val="67"/>
              </w:numPr>
              <w:spacing w:line="240" w:lineRule="auto"/>
              <w:ind w:left="568" w:hanging="284"/>
              <w:rPr>
                <w:rFonts w:ascii="Times New Roman" w:hAnsi="Times New Roman"/>
                <w:i/>
                <w:sz w:val="20"/>
                <w:szCs w:val="20"/>
              </w:rPr>
            </w:pPr>
            <w:r w:rsidRPr="00D60728">
              <w:rPr>
                <w:rFonts w:ascii="Times New Roman" w:hAnsi="Times New Roman"/>
                <w:i/>
                <w:sz w:val="20"/>
                <w:szCs w:val="20"/>
              </w:rPr>
              <w:t>daljnju sveobuhvatnu provedbu kontrole priključaka i mjernih mjesta (KPiMM), s naglaskom na otkrivanje neovlaštene potrošnje električne energije</w:t>
            </w:r>
          </w:p>
          <w:p w:rsidR="00853EA3" w:rsidRPr="00D60728" w:rsidRDefault="00853EA3" w:rsidP="00BF7DCC">
            <w:pPr>
              <w:pStyle w:val="ListParagraph"/>
              <w:numPr>
                <w:ilvl w:val="1"/>
                <w:numId w:val="67"/>
              </w:numPr>
              <w:spacing w:line="240" w:lineRule="auto"/>
              <w:ind w:left="568" w:hanging="284"/>
              <w:rPr>
                <w:rFonts w:ascii="Times New Roman" w:hAnsi="Times New Roman"/>
                <w:i/>
                <w:sz w:val="20"/>
                <w:szCs w:val="20"/>
              </w:rPr>
            </w:pPr>
            <w:r w:rsidRPr="00D60728">
              <w:rPr>
                <w:rFonts w:ascii="Times New Roman" w:hAnsi="Times New Roman"/>
                <w:i/>
                <w:sz w:val="20"/>
                <w:szCs w:val="20"/>
              </w:rPr>
              <w:t>nastavak rekonstrukcije postojećih priključaka i mjernih mjesta, koja su smještena u objektima kupaca.</w:t>
            </w:r>
          </w:p>
        </w:tc>
      </w:tr>
      <w:tr w:rsidR="00C731F3" w:rsidRPr="00D60728" w:rsidTr="00C731F3">
        <w:trPr>
          <w:trHeight w:val="624"/>
        </w:trPr>
        <w:tc>
          <w:tcPr>
            <w:tcW w:w="1129" w:type="dxa"/>
            <w:vMerge/>
            <w:vAlign w:val="center"/>
            <w:hideMark/>
          </w:tcPr>
          <w:p w:rsidR="00C731F3" w:rsidRPr="00D60728" w:rsidRDefault="00C731F3" w:rsidP="00BF7DCC">
            <w:pPr>
              <w:spacing w:line="240" w:lineRule="auto"/>
              <w:jc w:val="left"/>
              <w:rPr>
                <w:rFonts w:ascii="Times New Roman" w:hAnsi="Times New Roman"/>
                <w:sz w:val="20"/>
                <w:szCs w:val="20"/>
              </w:rPr>
            </w:pPr>
          </w:p>
        </w:tc>
        <w:tc>
          <w:tcPr>
            <w:tcW w:w="1418" w:type="dxa"/>
            <w:vAlign w:val="center"/>
            <w:hideMark/>
          </w:tcPr>
          <w:p w:rsidR="00C731F3" w:rsidRPr="00D60728" w:rsidRDefault="00C731F3"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C731F3" w:rsidRPr="00D60728" w:rsidRDefault="00C731F3"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HEP – ODS </w:t>
            </w:r>
          </w:p>
        </w:tc>
      </w:tr>
      <w:tr w:rsidR="00853EA3" w:rsidRPr="00D60728" w:rsidTr="00F90557">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C76B14"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Sredstva HEP-ODS: </w:t>
            </w:r>
          </w:p>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Ukupni investicijski troškovi ugradnje naprednih mjernih uređaja na svih 2,4 milijuna obračunskih mjernih mjesta u razdoblju od 2021. do 2030. godine iznose oko 2.356.000.000 kn.</w:t>
            </w:r>
          </w:p>
          <w:p w:rsidR="00853EA3" w:rsidRPr="00D60728" w:rsidRDefault="00853EA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ESI fondovi</w:t>
            </w:r>
          </w:p>
        </w:tc>
      </w:tr>
      <w:tr w:rsidR="00C731F3" w:rsidRPr="00D60728" w:rsidTr="00C731F3">
        <w:trPr>
          <w:trHeight w:val="1020"/>
        </w:trPr>
        <w:tc>
          <w:tcPr>
            <w:tcW w:w="1129" w:type="dxa"/>
            <w:vMerge w:val="restart"/>
            <w:vAlign w:val="center"/>
            <w:hideMark/>
          </w:tcPr>
          <w:p w:rsidR="00C731F3" w:rsidRPr="00D60728" w:rsidRDefault="00C731F3"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C731F3" w:rsidRPr="00D60728" w:rsidRDefault="00C731F3"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C731F3" w:rsidRPr="00D60728" w:rsidRDefault="00C731F3"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Kumulativne uštede energije u razdoblju 2021.-2030. 24,4 ktoe (284 GWh; 1,0 PJ); </w:t>
            </w:r>
          </w:p>
          <w:p w:rsidR="00C731F3" w:rsidRPr="00D60728" w:rsidRDefault="00C731F3"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Kumulativno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razdoblju 2021.-2030. 32,6 ktCO</w:t>
            </w:r>
            <w:r w:rsidRPr="00D60728">
              <w:rPr>
                <w:rFonts w:ascii="Times New Roman" w:hAnsi="Times New Roman"/>
                <w:i/>
                <w:iCs/>
                <w:sz w:val="20"/>
                <w:szCs w:val="20"/>
                <w:vertAlign w:val="subscript"/>
              </w:rPr>
              <w:t>2e</w:t>
            </w:r>
          </w:p>
        </w:tc>
      </w:tr>
      <w:tr w:rsidR="00C731F3" w:rsidRPr="00D60728" w:rsidTr="00C731F3">
        <w:trPr>
          <w:trHeight w:val="964"/>
        </w:trPr>
        <w:tc>
          <w:tcPr>
            <w:tcW w:w="1129" w:type="dxa"/>
            <w:vMerge/>
            <w:vAlign w:val="center"/>
            <w:hideMark/>
          </w:tcPr>
          <w:p w:rsidR="00C731F3" w:rsidRPr="00D60728" w:rsidRDefault="00C731F3" w:rsidP="00BF7DCC">
            <w:pPr>
              <w:spacing w:line="240" w:lineRule="auto"/>
              <w:jc w:val="left"/>
              <w:rPr>
                <w:rFonts w:ascii="Times New Roman" w:hAnsi="Times New Roman"/>
                <w:sz w:val="20"/>
                <w:szCs w:val="20"/>
              </w:rPr>
            </w:pPr>
          </w:p>
        </w:tc>
        <w:tc>
          <w:tcPr>
            <w:tcW w:w="1418" w:type="dxa"/>
            <w:vAlign w:val="center"/>
          </w:tcPr>
          <w:p w:rsidR="00C731F3" w:rsidRPr="00D60728" w:rsidRDefault="00C731F3"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C731F3" w:rsidRPr="00D60728" w:rsidRDefault="00C731F3"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HEP-ODS izrađuje bilancu za prethodnu godinu, u kojoj se posebno iskazuju gubici električne energije.</w:t>
            </w:r>
          </w:p>
        </w:tc>
      </w:tr>
    </w:tbl>
    <w:p w:rsidR="00853EA3" w:rsidRPr="00D60728" w:rsidRDefault="00853EA3" w:rsidP="00BF7DCC">
      <w:pPr>
        <w:spacing w:line="240" w:lineRule="auto"/>
        <w:rPr>
          <w:sz w:val="20"/>
          <w:szCs w:val="20"/>
        </w:rPr>
      </w:pPr>
    </w:p>
    <w:p w:rsidR="001045AA" w:rsidRPr="00D60728" w:rsidRDefault="001045AA" w:rsidP="00BF7DCC">
      <w:pPr>
        <w:spacing w:line="240" w:lineRule="auto"/>
        <w:jc w:val="left"/>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1045AA" w:rsidRPr="00707212" w:rsidTr="005B76C4">
        <w:trPr>
          <w:trHeight w:val="454"/>
        </w:trPr>
        <w:tc>
          <w:tcPr>
            <w:tcW w:w="2547" w:type="dxa"/>
            <w:gridSpan w:val="2"/>
            <w:shd w:val="clear" w:color="auto" w:fill="D9D9D9" w:themeFill="background1" w:themeFillShade="D9"/>
            <w:vAlign w:val="center"/>
            <w:hideMark/>
          </w:tcPr>
          <w:p w:rsidR="001045AA" w:rsidRPr="00707212" w:rsidRDefault="001045AA"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1045AA" w:rsidRPr="00707212" w:rsidRDefault="001045AA" w:rsidP="00BF7DCC">
            <w:pPr>
              <w:spacing w:line="240" w:lineRule="auto"/>
              <w:ind w:right="57"/>
              <w:rPr>
                <w:rFonts w:ascii="Times New Roman" w:hAnsi="Times New Roman"/>
                <w:b/>
                <w:i/>
                <w:iCs/>
              </w:rPr>
            </w:pPr>
            <w:r w:rsidRPr="00707212">
              <w:rPr>
                <w:rFonts w:ascii="Times New Roman" w:hAnsi="Times New Roman"/>
                <w:b/>
                <w:i/>
                <w:iCs/>
              </w:rPr>
              <w:t>Povećanje učinkovitosti sustava toplinarstva</w:t>
            </w:r>
          </w:p>
        </w:tc>
      </w:tr>
      <w:tr w:rsidR="001045AA" w:rsidRPr="00D60728" w:rsidTr="005B76C4">
        <w:trPr>
          <w:trHeight w:val="454"/>
        </w:trPr>
        <w:tc>
          <w:tcPr>
            <w:tcW w:w="2547" w:type="dxa"/>
            <w:gridSpan w:val="2"/>
            <w:vAlign w:val="center"/>
            <w:hideMark/>
          </w:tcPr>
          <w:p w:rsidR="001045AA" w:rsidRPr="00D60728" w:rsidRDefault="001045AA"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1045AA" w:rsidRPr="00D60728" w:rsidRDefault="001045AA"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MEN-14</w:t>
            </w:r>
          </w:p>
        </w:tc>
      </w:tr>
      <w:tr w:rsidR="001045AA" w:rsidRPr="00D60728" w:rsidTr="005B76C4">
        <w:trPr>
          <w:trHeight w:val="454"/>
        </w:trPr>
        <w:tc>
          <w:tcPr>
            <w:tcW w:w="1129" w:type="dxa"/>
            <w:vMerge w:val="restart"/>
            <w:vAlign w:val="center"/>
            <w:hideMark/>
          </w:tcPr>
          <w:p w:rsidR="001045AA" w:rsidRPr="00D60728" w:rsidRDefault="001045AA"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1045AA" w:rsidRPr="00D60728" w:rsidRDefault="001045AA"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1045AA" w:rsidRPr="00D60728" w:rsidRDefault="001045AA"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i organizacijska mjera</w:t>
            </w:r>
          </w:p>
        </w:tc>
      </w:tr>
      <w:tr w:rsidR="001045AA" w:rsidRPr="00D60728" w:rsidTr="005B76C4">
        <w:trPr>
          <w:trHeight w:val="454"/>
        </w:trPr>
        <w:tc>
          <w:tcPr>
            <w:tcW w:w="1129" w:type="dxa"/>
            <w:vMerge/>
            <w:vAlign w:val="center"/>
            <w:hideMark/>
          </w:tcPr>
          <w:p w:rsidR="001045AA" w:rsidRPr="00D60728" w:rsidRDefault="001045AA" w:rsidP="00BF7DCC">
            <w:pPr>
              <w:spacing w:line="240" w:lineRule="auto"/>
              <w:jc w:val="left"/>
              <w:rPr>
                <w:rFonts w:ascii="Times New Roman" w:hAnsi="Times New Roman"/>
                <w:sz w:val="20"/>
                <w:szCs w:val="20"/>
              </w:rPr>
            </w:pPr>
          </w:p>
        </w:tc>
        <w:tc>
          <w:tcPr>
            <w:tcW w:w="1418" w:type="dxa"/>
            <w:vMerge w:val="restart"/>
            <w:vAlign w:val="center"/>
            <w:hideMark/>
          </w:tcPr>
          <w:p w:rsidR="001045AA" w:rsidRPr="00D60728" w:rsidRDefault="001045AA"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shd w:val="clear" w:color="auto" w:fill="auto"/>
            <w:vAlign w:val="center"/>
            <w:hideMark/>
          </w:tcPr>
          <w:p w:rsidR="001045AA" w:rsidRPr="00D60728" w:rsidRDefault="001045AA"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6D1EAD" w:rsidRPr="00D60728">
              <w:rPr>
                <w:rFonts w:ascii="Times New Roman" w:hAnsi="Times New Roman"/>
                <w:i/>
                <w:iCs/>
                <w:sz w:val="20"/>
                <w:szCs w:val="20"/>
              </w:rPr>
              <w:t>0</w:t>
            </w:r>
            <w:r w:rsidRPr="00D60728">
              <w:rPr>
                <w:rFonts w:ascii="Times New Roman" w:hAnsi="Times New Roman"/>
                <w:i/>
                <w:iCs/>
                <w:sz w:val="20"/>
                <w:szCs w:val="20"/>
              </w:rPr>
              <w:t>.</w:t>
            </w:r>
          </w:p>
        </w:tc>
      </w:tr>
      <w:tr w:rsidR="001045AA" w:rsidRPr="00D60728" w:rsidTr="005B76C4">
        <w:trPr>
          <w:trHeight w:val="454"/>
        </w:trPr>
        <w:tc>
          <w:tcPr>
            <w:tcW w:w="1129" w:type="dxa"/>
            <w:vMerge/>
            <w:vAlign w:val="center"/>
            <w:hideMark/>
          </w:tcPr>
          <w:p w:rsidR="001045AA" w:rsidRPr="00D60728" w:rsidRDefault="001045AA" w:rsidP="00BF7DCC">
            <w:pPr>
              <w:spacing w:line="240" w:lineRule="auto"/>
              <w:jc w:val="left"/>
              <w:rPr>
                <w:rFonts w:ascii="Times New Roman" w:hAnsi="Times New Roman"/>
                <w:sz w:val="20"/>
                <w:szCs w:val="20"/>
              </w:rPr>
            </w:pPr>
          </w:p>
        </w:tc>
        <w:tc>
          <w:tcPr>
            <w:tcW w:w="1418" w:type="dxa"/>
            <w:vMerge/>
            <w:vAlign w:val="center"/>
            <w:hideMark/>
          </w:tcPr>
          <w:p w:rsidR="001045AA" w:rsidRPr="00D60728" w:rsidRDefault="001045AA" w:rsidP="00BF7DCC">
            <w:pPr>
              <w:spacing w:line="240" w:lineRule="auto"/>
              <w:jc w:val="left"/>
              <w:rPr>
                <w:rFonts w:ascii="Times New Roman" w:hAnsi="Times New Roman"/>
                <w:sz w:val="20"/>
                <w:szCs w:val="20"/>
              </w:rPr>
            </w:pPr>
          </w:p>
        </w:tc>
        <w:tc>
          <w:tcPr>
            <w:tcW w:w="6628" w:type="dxa"/>
            <w:shd w:val="clear" w:color="auto" w:fill="auto"/>
            <w:vAlign w:val="center"/>
            <w:hideMark/>
          </w:tcPr>
          <w:p w:rsidR="001045AA" w:rsidRPr="00D60728" w:rsidRDefault="001045AA"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016E5D" w:rsidRPr="00D60728">
              <w:rPr>
                <w:rFonts w:ascii="Times New Roman" w:hAnsi="Times New Roman"/>
                <w:i/>
                <w:iCs/>
                <w:sz w:val="20"/>
                <w:szCs w:val="20"/>
              </w:rPr>
              <w:t>24</w:t>
            </w:r>
            <w:r w:rsidRPr="00D60728">
              <w:rPr>
                <w:rFonts w:ascii="Times New Roman" w:hAnsi="Times New Roman"/>
                <w:i/>
                <w:iCs/>
                <w:sz w:val="20"/>
                <w:szCs w:val="20"/>
              </w:rPr>
              <w:t>.</w:t>
            </w:r>
          </w:p>
        </w:tc>
      </w:tr>
      <w:tr w:rsidR="00016E5D" w:rsidRPr="00D60728" w:rsidTr="005B76C4">
        <w:trPr>
          <w:trHeight w:val="4252"/>
        </w:trPr>
        <w:tc>
          <w:tcPr>
            <w:tcW w:w="1129" w:type="dxa"/>
            <w:vMerge/>
            <w:vAlign w:val="center"/>
            <w:hideMark/>
          </w:tcPr>
          <w:p w:rsidR="00016E5D" w:rsidRPr="00D60728" w:rsidRDefault="00016E5D" w:rsidP="00BF7DCC">
            <w:pPr>
              <w:spacing w:line="240" w:lineRule="auto"/>
              <w:jc w:val="left"/>
              <w:rPr>
                <w:rFonts w:ascii="Times New Roman" w:hAnsi="Times New Roman"/>
                <w:sz w:val="20"/>
                <w:szCs w:val="20"/>
              </w:rPr>
            </w:pPr>
          </w:p>
        </w:tc>
        <w:tc>
          <w:tcPr>
            <w:tcW w:w="1418" w:type="dxa"/>
            <w:vAlign w:val="center"/>
          </w:tcPr>
          <w:p w:rsidR="00016E5D" w:rsidRPr="00D60728" w:rsidRDefault="00016E5D"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016E5D" w:rsidRPr="00D60728" w:rsidRDefault="00016E5D" w:rsidP="00BF7DCC">
            <w:pPr>
              <w:spacing w:line="240" w:lineRule="auto"/>
              <w:rPr>
                <w:rFonts w:ascii="Times New Roman" w:hAnsi="Times New Roman"/>
                <w:i/>
                <w:iCs/>
                <w:sz w:val="20"/>
                <w:szCs w:val="20"/>
              </w:rPr>
            </w:pPr>
            <w:r w:rsidRPr="00D60728">
              <w:rPr>
                <w:rFonts w:ascii="Times New Roman" w:hAnsi="Times New Roman"/>
                <w:i/>
                <w:iCs/>
                <w:sz w:val="20"/>
                <w:szCs w:val="20"/>
              </w:rPr>
              <w:t>U postojećim velikim centraliziranim toplinskim sustavima veliki izvor gubitaka je dotrajala distribucijska mreža te se ovom mjerom predviđa nastavak zamjene vrelovoda i parovoda s dotrajalom izolacijom čeličnih cjevovoda novim predizoliranim cijevima i tehnološki pomak k četvrtoj generaciji daljinskog grijanja. U manjim sustavima s vlastitim kotlovnicama potrebno je omogućiti rekonstrukciju kotlovnica, poglavito zamjenom visokoučinkovitim kogeneracijskim sustavima ili sustavima koji koriste dizalice topline. Mjera također predviđa i razvoj novih sustava grijanja i hlađenja, koji koriste visokoučinkovitu kogeneraciju ili obnovljive izvore energije. S obzirom na odredbe Direktive 2018/2002 o energetskoj učinkovitosti, a posebice s uvođenjem obaveze individualnog mjerenja na razini krajnjeg potrošača, sustavi daljinskog grijanja su postali sustavi s promjenjivom potražnjom za toplinskom energijom što zahtijeva uvođenje sustava naprednog mjerenja kao dodatan korak integraciji različitih energetskih sustava i povećanju ukupne energetske učinkovitosti.</w:t>
            </w:r>
          </w:p>
        </w:tc>
      </w:tr>
      <w:tr w:rsidR="001045AA" w:rsidRPr="00D60728" w:rsidTr="005B76C4">
        <w:trPr>
          <w:trHeight w:val="454"/>
        </w:trPr>
        <w:tc>
          <w:tcPr>
            <w:tcW w:w="1129" w:type="dxa"/>
            <w:vMerge w:val="restart"/>
            <w:vAlign w:val="center"/>
            <w:hideMark/>
          </w:tcPr>
          <w:p w:rsidR="001045AA" w:rsidRPr="00D60728" w:rsidRDefault="001045AA" w:rsidP="00BF7DCC">
            <w:pPr>
              <w:spacing w:line="240" w:lineRule="auto"/>
              <w:jc w:val="left"/>
              <w:rPr>
                <w:rFonts w:ascii="Times New Roman" w:hAnsi="Times New Roman"/>
                <w:sz w:val="20"/>
                <w:szCs w:val="20"/>
              </w:rPr>
            </w:pPr>
            <w:r w:rsidRPr="00D60728">
              <w:rPr>
                <w:rFonts w:ascii="Times New Roman" w:hAnsi="Times New Roman"/>
                <w:sz w:val="20"/>
                <w:szCs w:val="20"/>
              </w:rPr>
              <w:lastRenderedPageBreak/>
              <w:t>Način provedbe</w:t>
            </w:r>
          </w:p>
        </w:tc>
        <w:tc>
          <w:tcPr>
            <w:tcW w:w="1418" w:type="dxa"/>
            <w:vAlign w:val="center"/>
            <w:hideMark/>
          </w:tcPr>
          <w:p w:rsidR="001045AA" w:rsidRPr="00D60728" w:rsidRDefault="001045AA"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1045AA" w:rsidRPr="00D60728" w:rsidRDefault="001045AA"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Priprema dokumentacije za zamjenu dotrajalih distribucijskih sustava;</w:t>
            </w:r>
          </w:p>
          <w:p w:rsidR="001045AA" w:rsidRPr="00D60728" w:rsidRDefault="001045AA"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Zamjena distribucijskih sustava s dotrajalom izolacijom čeličnih cjevovoda novim predizoliranim cijevima; </w:t>
            </w:r>
          </w:p>
          <w:p w:rsidR="001045AA" w:rsidRPr="00D60728" w:rsidRDefault="001045AA"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Uvođenje naprednog mjerenja potrošnje.</w:t>
            </w:r>
          </w:p>
        </w:tc>
      </w:tr>
      <w:tr w:rsidR="00016E5D" w:rsidRPr="00D60728" w:rsidTr="005B76C4">
        <w:trPr>
          <w:trHeight w:val="624"/>
        </w:trPr>
        <w:tc>
          <w:tcPr>
            <w:tcW w:w="1129" w:type="dxa"/>
            <w:vMerge/>
            <w:vAlign w:val="center"/>
            <w:hideMark/>
          </w:tcPr>
          <w:p w:rsidR="00016E5D" w:rsidRPr="00D60728" w:rsidRDefault="00016E5D" w:rsidP="00BF7DCC">
            <w:pPr>
              <w:spacing w:line="240" w:lineRule="auto"/>
              <w:jc w:val="left"/>
              <w:rPr>
                <w:rFonts w:ascii="Times New Roman" w:hAnsi="Times New Roman"/>
                <w:sz w:val="20"/>
                <w:szCs w:val="20"/>
              </w:rPr>
            </w:pPr>
          </w:p>
        </w:tc>
        <w:tc>
          <w:tcPr>
            <w:tcW w:w="1418" w:type="dxa"/>
            <w:vAlign w:val="center"/>
            <w:hideMark/>
          </w:tcPr>
          <w:p w:rsidR="00016E5D" w:rsidRPr="00D60728" w:rsidRDefault="00016E5D"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016E5D" w:rsidRPr="00D60728" w:rsidRDefault="00016E5D" w:rsidP="00BF7DCC">
            <w:pPr>
              <w:spacing w:line="240" w:lineRule="auto"/>
              <w:rPr>
                <w:rFonts w:ascii="Times New Roman" w:hAnsi="Times New Roman"/>
                <w:i/>
                <w:iCs/>
                <w:sz w:val="20"/>
                <w:szCs w:val="20"/>
              </w:rPr>
            </w:pPr>
            <w:r w:rsidRPr="00D60728">
              <w:rPr>
                <w:rFonts w:ascii="Times New Roman" w:hAnsi="Times New Roman"/>
                <w:i/>
                <w:iCs/>
                <w:sz w:val="20"/>
                <w:szCs w:val="20"/>
              </w:rPr>
              <w:t>Proizvođači, distributeri i opskrbljivači toplinskom energijom iz CTS-a</w:t>
            </w:r>
          </w:p>
        </w:tc>
      </w:tr>
      <w:tr w:rsidR="001045AA" w:rsidRPr="00D60728" w:rsidTr="005B76C4">
        <w:trPr>
          <w:trHeight w:val="454"/>
        </w:trPr>
        <w:tc>
          <w:tcPr>
            <w:tcW w:w="1129" w:type="dxa"/>
            <w:vMerge/>
            <w:vAlign w:val="center"/>
            <w:hideMark/>
          </w:tcPr>
          <w:p w:rsidR="001045AA" w:rsidRPr="00D60728" w:rsidRDefault="001045AA" w:rsidP="00BF7DCC">
            <w:pPr>
              <w:spacing w:line="240" w:lineRule="auto"/>
              <w:jc w:val="left"/>
              <w:rPr>
                <w:rFonts w:ascii="Times New Roman" w:hAnsi="Times New Roman"/>
                <w:sz w:val="20"/>
                <w:szCs w:val="20"/>
              </w:rPr>
            </w:pPr>
          </w:p>
        </w:tc>
        <w:tc>
          <w:tcPr>
            <w:tcW w:w="1418" w:type="dxa"/>
            <w:vAlign w:val="center"/>
            <w:hideMark/>
          </w:tcPr>
          <w:p w:rsidR="001045AA" w:rsidRPr="00D60728" w:rsidRDefault="001045AA"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1045AA" w:rsidRPr="00D60728" w:rsidRDefault="001045AA"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Procjena sredstava tek se treba napraviti prema planovima operatora CTS-a</w:t>
            </w:r>
          </w:p>
          <w:p w:rsidR="001045AA" w:rsidRPr="00D60728" w:rsidRDefault="001045AA"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Operatori CTS-a, ESI fondovi</w:t>
            </w:r>
          </w:p>
        </w:tc>
      </w:tr>
      <w:tr w:rsidR="00016E5D" w:rsidRPr="00D60728" w:rsidTr="005B76C4">
        <w:trPr>
          <w:trHeight w:val="839"/>
        </w:trPr>
        <w:tc>
          <w:tcPr>
            <w:tcW w:w="1129" w:type="dxa"/>
            <w:vMerge w:val="restart"/>
            <w:vAlign w:val="center"/>
            <w:hideMark/>
          </w:tcPr>
          <w:p w:rsidR="00016E5D" w:rsidRPr="00D60728" w:rsidRDefault="00016E5D"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016E5D" w:rsidRPr="00D60728" w:rsidRDefault="00016E5D"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016E5D" w:rsidRPr="00D60728" w:rsidRDefault="00016E5D"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gubitaka u CTS-ima</w:t>
            </w:r>
          </w:p>
        </w:tc>
      </w:tr>
      <w:tr w:rsidR="00016E5D" w:rsidRPr="00D60728" w:rsidTr="005B76C4">
        <w:trPr>
          <w:trHeight w:val="1134"/>
        </w:trPr>
        <w:tc>
          <w:tcPr>
            <w:tcW w:w="1129" w:type="dxa"/>
            <w:vMerge/>
            <w:vAlign w:val="center"/>
            <w:hideMark/>
          </w:tcPr>
          <w:p w:rsidR="00016E5D" w:rsidRPr="00D60728" w:rsidRDefault="00016E5D" w:rsidP="00BF7DCC">
            <w:pPr>
              <w:spacing w:line="240" w:lineRule="auto"/>
              <w:jc w:val="left"/>
              <w:rPr>
                <w:rFonts w:ascii="Times New Roman" w:hAnsi="Times New Roman"/>
                <w:sz w:val="20"/>
                <w:szCs w:val="20"/>
              </w:rPr>
            </w:pPr>
          </w:p>
        </w:tc>
        <w:tc>
          <w:tcPr>
            <w:tcW w:w="1418" w:type="dxa"/>
            <w:vAlign w:val="center"/>
          </w:tcPr>
          <w:p w:rsidR="00016E5D" w:rsidRPr="00D60728" w:rsidRDefault="00016E5D"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016E5D" w:rsidRPr="00D60728" w:rsidRDefault="00016E5D"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Praćenje učinaka ove mjere ostvaruje se na temelju podataka distributera toplinske energije o gubitcima prije i poslije primjene mjera.</w:t>
            </w:r>
          </w:p>
        </w:tc>
      </w:tr>
    </w:tbl>
    <w:p w:rsidR="00A50A73" w:rsidRDefault="00A50A73" w:rsidP="00BF7DCC">
      <w:pPr>
        <w:spacing w:line="240" w:lineRule="auto"/>
        <w:jc w:val="left"/>
        <w:rPr>
          <w:sz w:val="20"/>
          <w:szCs w:val="20"/>
        </w:rPr>
      </w:pPr>
    </w:p>
    <w:p w:rsidR="00707212" w:rsidRDefault="00707212" w:rsidP="00BF7DCC">
      <w:pPr>
        <w:spacing w:line="240" w:lineRule="auto"/>
        <w:jc w:val="left"/>
        <w:rPr>
          <w:sz w:val="20"/>
          <w:szCs w:val="20"/>
        </w:rPr>
      </w:pPr>
    </w:p>
    <w:p w:rsidR="00707212" w:rsidRPr="00D60728" w:rsidRDefault="00707212" w:rsidP="00BF7DCC">
      <w:pPr>
        <w:spacing w:line="240" w:lineRule="auto"/>
        <w:jc w:val="left"/>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A50A73" w:rsidRPr="00707212" w:rsidTr="005B76C4">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Povećanje učinkovitosti plinskog sustava</w:t>
            </w:r>
          </w:p>
        </w:tc>
      </w:tr>
      <w:tr w:rsidR="00A50A73" w:rsidRPr="00D60728" w:rsidTr="005B76C4">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MEN-15</w:t>
            </w:r>
          </w:p>
        </w:tc>
      </w:tr>
      <w:tr w:rsidR="00A50A73" w:rsidRPr="00D60728" w:rsidTr="005B76C4">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i organizacijska mjera</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5B76C4" w:rsidRPr="00D60728">
              <w:rPr>
                <w:rFonts w:ascii="Times New Roman" w:hAnsi="Times New Roman"/>
                <w:i/>
                <w:iCs/>
                <w:sz w:val="20"/>
                <w:szCs w:val="20"/>
              </w:rPr>
              <w:t>1</w:t>
            </w:r>
            <w:r w:rsidRPr="00D60728">
              <w:rPr>
                <w:rFonts w:ascii="Times New Roman" w:hAnsi="Times New Roman"/>
                <w:i/>
                <w:iCs/>
                <w:sz w:val="20"/>
                <w:szCs w:val="20"/>
              </w:rPr>
              <w:t>.</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6D1EAD" w:rsidRPr="00D60728">
              <w:rPr>
                <w:rFonts w:ascii="Times New Roman" w:hAnsi="Times New Roman"/>
                <w:i/>
                <w:iCs/>
                <w:sz w:val="20"/>
                <w:szCs w:val="20"/>
              </w:rPr>
              <w:t>24</w:t>
            </w:r>
            <w:r w:rsidRPr="00D60728">
              <w:rPr>
                <w:rFonts w:ascii="Times New Roman" w:hAnsi="Times New Roman"/>
                <w:i/>
                <w:iCs/>
                <w:sz w:val="20"/>
                <w:szCs w:val="20"/>
              </w:rPr>
              <w:t>.</w:t>
            </w:r>
          </w:p>
        </w:tc>
      </w:tr>
      <w:tr w:rsidR="006D1EAD" w:rsidRPr="00D60728" w:rsidTr="005B76C4">
        <w:trPr>
          <w:trHeight w:val="2098"/>
        </w:trPr>
        <w:tc>
          <w:tcPr>
            <w:tcW w:w="1129" w:type="dxa"/>
            <w:vMerge/>
            <w:vAlign w:val="center"/>
            <w:hideMark/>
          </w:tcPr>
          <w:p w:rsidR="006D1EAD" w:rsidRPr="00D60728" w:rsidRDefault="006D1EAD" w:rsidP="00BF7DCC">
            <w:pPr>
              <w:spacing w:line="240" w:lineRule="auto"/>
              <w:jc w:val="left"/>
              <w:rPr>
                <w:rFonts w:ascii="Times New Roman" w:hAnsi="Times New Roman"/>
                <w:sz w:val="20"/>
                <w:szCs w:val="20"/>
              </w:rPr>
            </w:pPr>
          </w:p>
        </w:tc>
        <w:tc>
          <w:tcPr>
            <w:tcW w:w="1418" w:type="dxa"/>
            <w:vAlign w:val="center"/>
          </w:tcPr>
          <w:p w:rsidR="006D1EAD" w:rsidRPr="00D60728" w:rsidRDefault="006D1EAD"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6D1EAD" w:rsidRPr="00D60728" w:rsidRDefault="006D1EAD" w:rsidP="00BF7DCC">
            <w:pPr>
              <w:spacing w:line="240" w:lineRule="auto"/>
              <w:rPr>
                <w:rFonts w:ascii="Times New Roman" w:hAnsi="Times New Roman"/>
                <w:i/>
                <w:iCs/>
                <w:sz w:val="20"/>
                <w:szCs w:val="20"/>
              </w:rPr>
            </w:pPr>
            <w:r w:rsidRPr="00D60728">
              <w:rPr>
                <w:rFonts w:ascii="Times New Roman" w:hAnsi="Times New Roman"/>
                <w:i/>
                <w:iCs/>
                <w:sz w:val="20"/>
                <w:szCs w:val="20"/>
              </w:rPr>
              <w:t>Potencijal za povećanje energetske učinkovitosti transportnog plinskog sustava najveći je u potrošnji prirodnog plina, koji se najvećim dijelom (70%) troši za predgrijavanje prirodnog plina prije isporuke korisnicima, a samo manjim dijelom (30%) za grijanje poslovnih prostorija i različita tehnološka rasterećenja, odnosno ispuhivanje sustava. Plinacro će u narednom razdoblju provoditi aktivnosti za poboljšanje energetske učinkovitosti sukladno Desetogodišnjem planu razvoja plinskog transportnog sustava RH 2018. -2027.</w:t>
            </w:r>
          </w:p>
        </w:tc>
      </w:tr>
      <w:tr w:rsidR="00A50A73" w:rsidRPr="00D60728" w:rsidTr="005B76C4">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Redukcija tlaka, s tlaka transportnog sustava na tlak isporuke korisnicima uzrokuje značajno pothlađivanje prirodnog plina, koje je neprihvatljivo iz tehničkih i sigurnosnih razloga, a slijedom toga i komercijalnih. Ovo se predgrijavanje obavlja na mjerno-redukcijskim stanicama i mjerno-redukcijskim čvorovima putem plinskih kotlovnica i pripadajućih izmjenjivača topline te grijaćih kabela. U sljedećem razdoblju Plinacro će nastaviti sa sustavnom zamjenom opreme na kotlovnicama (kotlovi, plamenici, sustav upravljanja radom kotlovnice). </w:t>
            </w:r>
          </w:p>
          <w:p w:rsidR="00A50A73" w:rsidRPr="00D60728" w:rsidRDefault="00A50A73" w:rsidP="00BF7DCC">
            <w:pPr>
              <w:pStyle w:val="ListParagraph"/>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Jedna od mjera bit će i smanjenje temperature predgrijavanja izlaznog plina s dosadašnjih 15°C na 12°C, čime će se ostvariti dodatne uštede. Ipak, navedeno smanjenje temperature moći će se ostvariti samo na onim objektima gdje smanjena temperatura izlaznog plina neće imati utjecaja na sigurnost isporuke plina i na kupce plina.</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Prostor za povećanje energetske učinkovitosti postoji i u optimalnom vođenju plinskog transportnog sustava u vezi s tlakovima u sustavu, jer manji tlak transportnog sustava znači manju redukciju plina za korisnika i njegovo manje predgrijavanje, a time i manje potrošene energije, odnosno plina. </w:t>
            </w:r>
            <w:r w:rsidRPr="00D60728">
              <w:rPr>
                <w:rFonts w:ascii="Times New Roman" w:hAnsi="Times New Roman"/>
                <w:i/>
                <w:sz w:val="20"/>
                <w:szCs w:val="20"/>
              </w:rPr>
              <w:lastRenderedPageBreak/>
              <w:t>Naravno, te su mogućnosti u ovom trenutku ograničene zbog sadašnjih tehničkih značajki plinskog transportnog sustava, uvjeta preuzimanja domaćeg plina i plina iz uvoza te njegove isporuke korisnicima. Međutim, daljnjim razvojem plinskog transportnog sustava, prije svega kompresorskih stanica koje su nužne, ali koje će biti značajan kupac pogonske energije, optimalnom pogonu i vođenju sustava morat će se posvetiti velika pozornost. Kod održavanja sustava treba poduzeti sve mjere da se tehnološka ispuštanja plina svedu na minimum.</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Električna energija se u plinskom transportnom sustavu koristi za pogon električnih uređaja, katodnu zaštitu i, naravno, za rasvjetu. Iako je njezin udjel u energetskoj potrošnji plinskog transportnog sustava značajno manji od potrošnje prirodnog plina, redovnim održavanjem i (po potrebi) zamjenom neučinkovitih trošila učinkovitim će se smanjiti njezina potrošnja.</w:t>
            </w:r>
          </w:p>
        </w:tc>
      </w:tr>
      <w:tr w:rsidR="006D1EAD" w:rsidRPr="00D60728" w:rsidTr="005B76C4">
        <w:trPr>
          <w:trHeight w:val="567"/>
        </w:trPr>
        <w:tc>
          <w:tcPr>
            <w:tcW w:w="1129" w:type="dxa"/>
            <w:vMerge/>
            <w:vAlign w:val="center"/>
            <w:hideMark/>
          </w:tcPr>
          <w:p w:rsidR="006D1EAD" w:rsidRPr="00D60728" w:rsidRDefault="006D1EAD" w:rsidP="00BF7DCC">
            <w:pPr>
              <w:spacing w:line="240" w:lineRule="auto"/>
              <w:jc w:val="left"/>
              <w:rPr>
                <w:rFonts w:ascii="Times New Roman" w:hAnsi="Times New Roman"/>
                <w:sz w:val="20"/>
                <w:szCs w:val="20"/>
              </w:rPr>
            </w:pPr>
          </w:p>
        </w:tc>
        <w:tc>
          <w:tcPr>
            <w:tcW w:w="1418" w:type="dxa"/>
            <w:vAlign w:val="center"/>
            <w:hideMark/>
          </w:tcPr>
          <w:p w:rsidR="006D1EAD" w:rsidRPr="00D60728" w:rsidRDefault="006D1EAD"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6D1EAD" w:rsidRPr="00D60728" w:rsidRDefault="006D1EAD" w:rsidP="00BF7DCC">
            <w:pPr>
              <w:spacing w:line="240" w:lineRule="auto"/>
              <w:rPr>
                <w:rFonts w:ascii="Times New Roman" w:hAnsi="Times New Roman"/>
                <w:i/>
                <w:iCs/>
                <w:sz w:val="20"/>
                <w:szCs w:val="20"/>
              </w:rPr>
            </w:pPr>
            <w:r w:rsidRPr="00D60728">
              <w:rPr>
                <w:rFonts w:ascii="Times New Roman" w:hAnsi="Times New Roman"/>
                <w:i/>
                <w:iCs/>
                <w:sz w:val="20"/>
                <w:szCs w:val="20"/>
              </w:rPr>
              <w:t>Plinacro</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A50A73" w:rsidRPr="00D60728" w:rsidRDefault="00A50A7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Procjene </w:t>
            </w:r>
            <w:r w:rsidR="006D1EAD" w:rsidRPr="00D60728">
              <w:rPr>
                <w:rFonts w:ascii="Times New Roman" w:hAnsi="Times New Roman"/>
                <w:i/>
                <w:iCs/>
                <w:sz w:val="20"/>
                <w:szCs w:val="20"/>
              </w:rPr>
              <w:t xml:space="preserve">potrebnih sredstva </w:t>
            </w:r>
            <w:r w:rsidRPr="00D60728">
              <w:rPr>
                <w:rFonts w:ascii="Times New Roman" w:hAnsi="Times New Roman"/>
                <w:i/>
                <w:iCs/>
                <w:sz w:val="20"/>
                <w:szCs w:val="20"/>
              </w:rPr>
              <w:t>izrađuje Plinacro</w:t>
            </w:r>
          </w:p>
          <w:p w:rsidR="00A50A73" w:rsidRPr="00D60728" w:rsidRDefault="00A50A7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Plinacro</w:t>
            </w:r>
          </w:p>
        </w:tc>
      </w:tr>
      <w:tr w:rsidR="006D1EAD" w:rsidRPr="00D60728" w:rsidTr="005B76C4">
        <w:trPr>
          <w:trHeight w:val="624"/>
        </w:trPr>
        <w:tc>
          <w:tcPr>
            <w:tcW w:w="1129" w:type="dxa"/>
            <w:vMerge w:val="restart"/>
            <w:vAlign w:val="center"/>
            <w:hideMark/>
          </w:tcPr>
          <w:p w:rsidR="006D1EAD" w:rsidRPr="00D60728" w:rsidRDefault="006D1EAD"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6D1EAD" w:rsidRPr="00D60728" w:rsidRDefault="006D1EAD"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6D1EAD" w:rsidRPr="00D60728" w:rsidRDefault="006D1EAD"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gubitaka u transportnom plinskom sustavu</w:t>
            </w:r>
          </w:p>
        </w:tc>
      </w:tr>
      <w:tr w:rsidR="006D1EAD" w:rsidRPr="00D60728" w:rsidTr="005B76C4">
        <w:trPr>
          <w:trHeight w:val="907"/>
        </w:trPr>
        <w:tc>
          <w:tcPr>
            <w:tcW w:w="1129" w:type="dxa"/>
            <w:vMerge/>
            <w:vAlign w:val="center"/>
            <w:hideMark/>
          </w:tcPr>
          <w:p w:rsidR="006D1EAD" w:rsidRPr="00D60728" w:rsidRDefault="006D1EAD" w:rsidP="00BF7DCC">
            <w:pPr>
              <w:spacing w:line="240" w:lineRule="auto"/>
              <w:jc w:val="left"/>
              <w:rPr>
                <w:rFonts w:ascii="Times New Roman" w:hAnsi="Times New Roman"/>
                <w:sz w:val="20"/>
                <w:szCs w:val="20"/>
              </w:rPr>
            </w:pPr>
          </w:p>
        </w:tc>
        <w:tc>
          <w:tcPr>
            <w:tcW w:w="1418" w:type="dxa"/>
            <w:vAlign w:val="center"/>
          </w:tcPr>
          <w:p w:rsidR="006D1EAD" w:rsidRPr="00D60728" w:rsidRDefault="006D1EAD"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6D1EAD" w:rsidRPr="00D60728" w:rsidRDefault="006D1EAD"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Praćenje učinaka ove mjere ostvaruje se na temelju podataka Plinacro-a</w:t>
            </w:r>
          </w:p>
        </w:tc>
      </w:tr>
    </w:tbl>
    <w:p w:rsidR="00A50A73" w:rsidRPr="00D60728" w:rsidRDefault="00A50A73" w:rsidP="00BF7DCC">
      <w:pPr>
        <w:spacing w:line="240" w:lineRule="auto"/>
        <w:rPr>
          <w:sz w:val="20"/>
          <w:szCs w:val="20"/>
        </w:rPr>
      </w:pPr>
    </w:p>
    <w:p w:rsidR="005123EF" w:rsidRPr="00D60728" w:rsidRDefault="005123EF"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A50A73" w:rsidRPr="00707212" w:rsidTr="005B76C4">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Informiranje, edukacija i povećanje kapaciteta za korištenje OIE</w:t>
            </w:r>
          </w:p>
        </w:tc>
      </w:tr>
      <w:tr w:rsidR="00A50A73" w:rsidRPr="00D60728" w:rsidTr="005B76C4">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MEN-16</w:t>
            </w:r>
          </w:p>
        </w:tc>
      </w:tr>
      <w:tr w:rsidR="00A50A73" w:rsidRPr="00D60728" w:rsidTr="005B76C4">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mjera</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5123EF" w:rsidRPr="00D60728">
              <w:rPr>
                <w:rFonts w:ascii="Times New Roman" w:hAnsi="Times New Roman"/>
                <w:i/>
                <w:iCs/>
                <w:sz w:val="20"/>
                <w:szCs w:val="20"/>
              </w:rPr>
              <w:t>24</w:t>
            </w:r>
            <w:r w:rsidRPr="00D60728">
              <w:rPr>
                <w:rFonts w:ascii="Times New Roman" w:hAnsi="Times New Roman"/>
                <w:i/>
                <w:iCs/>
                <w:sz w:val="20"/>
                <w:szCs w:val="20"/>
              </w:rPr>
              <w:t>.</w:t>
            </w:r>
          </w:p>
        </w:tc>
      </w:tr>
      <w:tr w:rsidR="005123EF" w:rsidRPr="00D60728" w:rsidTr="005B76C4">
        <w:trPr>
          <w:trHeight w:val="2608"/>
        </w:trPr>
        <w:tc>
          <w:tcPr>
            <w:tcW w:w="1129" w:type="dxa"/>
            <w:vMerge/>
            <w:vAlign w:val="center"/>
            <w:hideMark/>
          </w:tcPr>
          <w:p w:rsidR="005123EF" w:rsidRPr="00D60728" w:rsidRDefault="005123EF" w:rsidP="00BF7DCC">
            <w:pPr>
              <w:spacing w:line="240" w:lineRule="auto"/>
              <w:jc w:val="left"/>
              <w:rPr>
                <w:rFonts w:ascii="Times New Roman" w:hAnsi="Times New Roman"/>
                <w:sz w:val="20"/>
                <w:szCs w:val="20"/>
              </w:rPr>
            </w:pPr>
          </w:p>
        </w:tc>
        <w:tc>
          <w:tcPr>
            <w:tcW w:w="1418" w:type="dxa"/>
            <w:vAlign w:val="center"/>
          </w:tcPr>
          <w:p w:rsidR="005123EF" w:rsidRPr="00D60728" w:rsidRDefault="005123EF"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5123EF" w:rsidRPr="00D60728" w:rsidRDefault="005123EF" w:rsidP="00BF7DCC">
            <w:pPr>
              <w:spacing w:line="240" w:lineRule="auto"/>
              <w:rPr>
                <w:rFonts w:ascii="Times New Roman" w:hAnsi="Times New Roman"/>
                <w:i/>
                <w:iCs/>
                <w:sz w:val="20"/>
                <w:szCs w:val="20"/>
              </w:rPr>
            </w:pPr>
            <w:r w:rsidRPr="00D60728">
              <w:rPr>
                <w:rFonts w:ascii="Times New Roman" w:hAnsi="Times New Roman"/>
                <w:i/>
                <w:iCs/>
                <w:sz w:val="20"/>
                <w:szCs w:val="20"/>
              </w:rPr>
              <w:t>Informiranje opće javnosti i ciljnih skupina provodit će se organizacijom ciljanih info-kampanja vezanih uz investiranje u sustave koji koriste obnovljive izvore energije, posebice u sustave namijenjene za vlastite potrebe. Informiranje, edukacija i povećanje kapaciteta za korištenje OIE će se provoditi na nacionalnoj razini, a ciljani sektori su energetski sektor (NACE kod D), primarni sektor (NACE kod A), prerađivačka industrija (NACE kod C), građevinska industrija (NACE kod F) te stanovništvo RH (opća populacija). Po potrebi, provest će se dodatne analize mogućnosti dekarbonizacije sustava i s rezultatima upoznati stručnu i opću javnost.</w:t>
            </w:r>
          </w:p>
        </w:tc>
      </w:tr>
      <w:tr w:rsidR="00A50A73" w:rsidRPr="00D60728" w:rsidTr="005B76C4">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edukacija i promocija dobre prakse, posebno vezano za male projekte (do 500 kW);</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implementacija odgojnih i obrazovnih programa o korištenju OIE u vrtićima i školama;</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uspostava i organizacija savjetodavne službe s uključenim iskusnim stručnjacima iz prakse, posebno za male projekte (do 500 kW);</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dostupne informacije o administrativnoj proceduri, akreditiranoj opremi i certificiranim instalaterima;</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lastRenderedPageBreak/>
              <w:t>promocija korištenja sustava u građevinama (fotonaponski sustavi, sunčani toplinski sustavi, dizalice topline, peći i kotlovi na biomasu);</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promocija rekonstrukcije starih mlinova i vodenica u male hidroelektrane;</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promocija korištenja OIE na otocima;</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promocija korištenja biometana u transportu i njegovog ubrizgavanja u plinsku mrežu;</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izradu vodiča za integraciju projekata biomase u biogospodarstvo za male projekte (do 500 kW);</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izgradnja kapaciteta za biogospodarstvo;</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osmišljavanje i implementacija novih poslovnih modela za realizaciju postrojenja za anaerobnu digestiju (AD) za proizvodnju i korištenje bioplina i kogeneracija na biomasu;</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povezivanje sa sustavom gospodarenja otpadom – korištenje biorazgradive komponente otpada kao energetskog resursa;</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izgradnju i povećanje kapaciteta kod svih dionika tržišta (aktivni kupci, energetske zajednice, zajednice obnovljive energije, opskrbljivači energijom, agregatori, operatori sustava, instalateri);</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promocija korporativnih ugovora o otkupu (corporate PPA) za veće projekte koji su cijenom vezani uz tržište;</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savjetovanje s financijskim sektorom, promocija dobre prakse i edukacija, za veće projekte.</w:t>
            </w:r>
          </w:p>
        </w:tc>
      </w:tr>
      <w:tr w:rsidR="005123EF" w:rsidRPr="00D60728" w:rsidTr="005B76C4">
        <w:trPr>
          <w:trHeight w:val="624"/>
        </w:trPr>
        <w:tc>
          <w:tcPr>
            <w:tcW w:w="1129" w:type="dxa"/>
            <w:vMerge/>
            <w:vAlign w:val="center"/>
            <w:hideMark/>
          </w:tcPr>
          <w:p w:rsidR="005123EF" w:rsidRPr="00D60728" w:rsidRDefault="005123EF" w:rsidP="00BF7DCC">
            <w:pPr>
              <w:spacing w:line="240" w:lineRule="auto"/>
              <w:jc w:val="left"/>
              <w:rPr>
                <w:rFonts w:ascii="Times New Roman" w:hAnsi="Times New Roman"/>
                <w:sz w:val="20"/>
                <w:szCs w:val="20"/>
              </w:rPr>
            </w:pPr>
          </w:p>
        </w:tc>
        <w:tc>
          <w:tcPr>
            <w:tcW w:w="1418" w:type="dxa"/>
            <w:vAlign w:val="center"/>
            <w:hideMark/>
          </w:tcPr>
          <w:p w:rsidR="005123EF" w:rsidRPr="00D60728" w:rsidRDefault="005123EF"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5123EF" w:rsidRPr="00D60728" w:rsidRDefault="005123EF"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MZOE </w:t>
            </w:r>
          </w:p>
          <w:p w:rsidR="005123EF" w:rsidRPr="00D60728" w:rsidRDefault="005123EF"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FZOEU </w:t>
            </w:r>
          </w:p>
          <w:p w:rsidR="005123EF" w:rsidRPr="00D60728" w:rsidRDefault="005123EF"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MGIPU </w:t>
            </w:r>
          </w:p>
          <w:p w:rsidR="005123EF" w:rsidRPr="00D60728" w:rsidRDefault="005123EF"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HGK </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A50A73" w:rsidRPr="00D60728" w:rsidRDefault="00A50A7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oko 5 milijuna kuna godišnje</w:t>
            </w:r>
          </w:p>
          <w:p w:rsidR="00A50A73" w:rsidRPr="00D60728" w:rsidRDefault="00A50A7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Sredstva od prodaje emisijskih jedinica n</w:t>
            </w:r>
            <w:r w:rsidR="005123EF" w:rsidRPr="00D60728">
              <w:rPr>
                <w:rFonts w:ascii="Times New Roman" w:hAnsi="Times New Roman"/>
                <w:i/>
                <w:iCs/>
                <w:sz w:val="20"/>
                <w:szCs w:val="20"/>
              </w:rPr>
              <w:t>a dražbi (FZOEU) i sredstva EU</w:t>
            </w:r>
          </w:p>
        </w:tc>
      </w:tr>
      <w:tr w:rsidR="005123EF" w:rsidRPr="00D60728" w:rsidTr="005B76C4">
        <w:trPr>
          <w:trHeight w:val="1134"/>
        </w:trPr>
        <w:tc>
          <w:tcPr>
            <w:tcW w:w="1129" w:type="dxa"/>
            <w:vMerge w:val="restart"/>
            <w:vAlign w:val="center"/>
            <w:hideMark/>
          </w:tcPr>
          <w:p w:rsidR="005123EF" w:rsidRPr="00D60728" w:rsidRDefault="005123EF"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5123EF" w:rsidRPr="00D60728" w:rsidRDefault="005123EF"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5123EF" w:rsidRPr="00D60728" w:rsidRDefault="005123EF"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Povećanje proizvodnje energije i udjela OIE u ukupnoj potrošnji energije te smanjenje emisija stakleničkih plinova iz energetike i navedenih ciljanih sektora;</w:t>
            </w:r>
          </w:p>
          <w:p w:rsidR="005123EF" w:rsidRPr="00D60728" w:rsidRDefault="005123EF"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Povećanje broja zainteresiranih građana za korištenje OIE.</w:t>
            </w:r>
          </w:p>
        </w:tc>
      </w:tr>
      <w:tr w:rsidR="005123EF" w:rsidRPr="00D60728" w:rsidTr="005B76C4">
        <w:trPr>
          <w:trHeight w:val="1120"/>
        </w:trPr>
        <w:tc>
          <w:tcPr>
            <w:tcW w:w="1129" w:type="dxa"/>
            <w:vMerge/>
            <w:vAlign w:val="center"/>
            <w:hideMark/>
          </w:tcPr>
          <w:p w:rsidR="005123EF" w:rsidRPr="00D60728" w:rsidRDefault="005123EF" w:rsidP="00BF7DCC">
            <w:pPr>
              <w:spacing w:line="240" w:lineRule="auto"/>
              <w:jc w:val="left"/>
              <w:rPr>
                <w:rFonts w:ascii="Times New Roman" w:hAnsi="Times New Roman"/>
                <w:sz w:val="20"/>
                <w:szCs w:val="20"/>
              </w:rPr>
            </w:pPr>
          </w:p>
        </w:tc>
        <w:tc>
          <w:tcPr>
            <w:tcW w:w="1418" w:type="dxa"/>
            <w:vAlign w:val="center"/>
          </w:tcPr>
          <w:p w:rsidR="005123EF" w:rsidRPr="00D60728" w:rsidRDefault="005123EF"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5123EF" w:rsidRPr="00D60728" w:rsidRDefault="005123EF"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Broj događanja, broj korisnika</w:t>
            </w:r>
          </w:p>
        </w:tc>
      </w:tr>
    </w:tbl>
    <w:p w:rsidR="00A50A73" w:rsidRPr="00D60728" w:rsidRDefault="00A50A73" w:rsidP="00BF7DCC">
      <w:pPr>
        <w:spacing w:line="240" w:lineRule="auto"/>
        <w:rPr>
          <w:sz w:val="20"/>
          <w:szCs w:val="20"/>
        </w:rPr>
      </w:pPr>
    </w:p>
    <w:p w:rsidR="00A50A73" w:rsidRPr="00D60728" w:rsidRDefault="00A50A73" w:rsidP="00BF7DCC">
      <w:pPr>
        <w:spacing w:line="240" w:lineRule="auto"/>
        <w:rPr>
          <w:sz w:val="20"/>
          <w:szCs w:val="20"/>
        </w:rPr>
      </w:pPr>
    </w:p>
    <w:p w:rsidR="00A50A73" w:rsidRPr="00D60728" w:rsidRDefault="00A50A73" w:rsidP="00BF7DCC">
      <w:pPr>
        <w:pStyle w:val="Caption"/>
        <w:keepNext/>
        <w:spacing w:after="0" w:line="240" w:lineRule="auto"/>
        <w:rPr>
          <w:sz w:val="20"/>
          <w:szCs w:val="20"/>
        </w:rPr>
      </w:pPr>
    </w:p>
    <w:p w:rsidR="005123EF" w:rsidRPr="00D60728" w:rsidRDefault="005123EF" w:rsidP="00BF7DCC">
      <w:pPr>
        <w:spacing w:line="240" w:lineRule="auto"/>
        <w:rPr>
          <w:sz w:val="20"/>
          <w:szCs w:val="20"/>
        </w:rPr>
      </w:pPr>
      <w:r w:rsidRPr="00D60728">
        <w:rPr>
          <w:sz w:val="20"/>
          <w:szCs w:val="20"/>
        </w:rPr>
        <w:br w:type="page"/>
      </w:r>
    </w:p>
    <w:tbl>
      <w:tblPr>
        <w:tblStyle w:val="TableGrid"/>
        <w:tblW w:w="9175" w:type="dxa"/>
        <w:tblLayout w:type="fixed"/>
        <w:tblLook w:val="04A0" w:firstRow="1" w:lastRow="0" w:firstColumn="1" w:lastColumn="0" w:noHBand="0" w:noVBand="1"/>
      </w:tblPr>
      <w:tblGrid>
        <w:gridCol w:w="1129"/>
        <w:gridCol w:w="1418"/>
        <w:gridCol w:w="6628"/>
      </w:tblGrid>
      <w:tr w:rsidR="00A50A73" w:rsidRPr="00707212" w:rsidTr="005B76C4">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A50A73" w:rsidRPr="008B2519" w:rsidRDefault="00A50A73" w:rsidP="00BF7DCC">
            <w:pPr>
              <w:spacing w:line="240" w:lineRule="auto"/>
              <w:ind w:right="57"/>
              <w:rPr>
                <w:rFonts w:ascii="Times New Roman" w:hAnsi="Times New Roman"/>
                <w:b/>
                <w:i/>
                <w:iCs/>
                <w:highlight w:val="yellow"/>
              </w:rPr>
            </w:pPr>
            <w:r w:rsidRPr="008B2519">
              <w:rPr>
                <w:rFonts w:ascii="Times New Roman" w:hAnsi="Times New Roman"/>
                <w:b/>
                <w:i/>
                <w:iCs/>
                <w:highlight w:val="yellow"/>
              </w:rPr>
              <w:t>Prostorno-planski preduvjeti za korištenje OIE</w:t>
            </w:r>
          </w:p>
        </w:tc>
      </w:tr>
      <w:tr w:rsidR="00A50A73" w:rsidRPr="00D60728" w:rsidTr="005B76C4">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MEN-17</w:t>
            </w:r>
          </w:p>
        </w:tc>
      </w:tr>
      <w:tr w:rsidR="00A50A73" w:rsidRPr="00D60728" w:rsidTr="005B76C4">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CA6A59" w:rsidRPr="00D60728" w:rsidTr="005B76C4">
        <w:trPr>
          <w:trHeight w:val="964"/>
        </w:trPr>
        <w:tc>
          <w:tcPr>
            <w:tcW w:w="1129" w:type="dxa"/>
            <w:vMerge/>
            <w:vAlign w:val="center"/>
            <w:hideMark/>
          </w:tcPr>
          <w:p w:rsidR="00CA6A59" w:rsidRPr="00D60728" w:rsidRDefault="00CA6A59" w:rsidP="00BF7DCC">
            <w:pPr>
              <w:spacing w:line="240" w:lineRule="auto"/>
              <w:jc w:val="left"/>
              <w:rPr>
                <w:rFonts w:ascii="Times New Roman" w:hAnsi="Times New Roman"/>
                <w:sz w:val="20"/>
                <w:szCs w:val="20"/>
              </w:rPr>
            </w:pPr>
          </w:p>
        </w:tc>
        <w:tc>
          <w:tcPr>
            <w:tcW w:w="1418" w:type="dxa"/>
            <w:vAlign w:val="center"/>
            <w:hideMark/>
          </w:tcPr>
          <w:p w:rsidR="00CA6A59" w:rsidRPr="00D60728" w:rsidRDefault="00CA6A59"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vAlign w:val="center"/>
          </w:tcPr>
          <w:p w:rsidR="00CA6A59" w:rsidRPr="00D60728" w:rsidRDefault="00CA6A59"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Analiza postojećeg stanja prostornih kapaciteta, definiranje smjernica i kriterija specifičnih prostorno-planskih elemenata za planiranje OIE na državnoj, županijskoj i lokalnoj razini.</w:t>
            </w:r>
          </w:p>
        </w:tc>
      </w:tr>
      <w:tr w:rsidR="00A50A73" w:rsidRPr="00D60728" w:rsidTr="005B76C4">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analiza prostornih planova uz preispitivanje planiranih lokacija, kartiranje potencijala resursa za pojedine obnovljive izvore (vjetar, osunčanje, hidropotencijal, geotermalne vode za energetske svrhe) s obzirom na postojeće i napredne tehnologije energetske pretvorbe i prilagodbe na klimatske promjene temeljene na karakteristikama ekosustava unutar specifičnih prostora za iskorištavanje OIE (planirani i potencijalni prostor), mogućnosti skladištenja energije iz OIE te uklapanja u postojeći distribucijski sustav; </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utvrđivanje i kartiranje prostornih, okolišnih (bio-ekoloških, krajobraznih, geoloških) i socijalnih (korištenje prostora) i infrastrukturnih ograničenja te osjetljivost prostora za izgradnju i rad postrojenja, s obzirom na karakteristike postojećih i naprednih tehnologija za iskorištavanje OIE; </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definiranje smjernica i kriterija za odabir prostora pogodnih za iskorištavanje OIE, prostorno-planskih uvjeta te mjera zaštite u postupcima prema posebnim zakonima ; </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usvajanje smjernica i kriterija za uređenje specifičnih prostorno-planskih elemenata u prostoru za iskorištavanje OIE na državnoj razini i njihova implementacija u prostorno planske dokumente na državnoj, regionalnoj i lokalnoj razini uz primjenu mjera zaštite u postupcima prema posebnim zakonima; </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stručno obrazovanje i poticanje međusektorske suradnje stručnjaka iz područja prostornog planiranja, zaštite prirode i okoliša, energetike i ostalih stručnjaka relevantnih za prostorno planiranje i razvoj projekata OIE;</w:t>
            </w:r>
          </w:p>
          <w:p w:rsidR="00A50A73" w:rsidRPr="00D60728" w:rsidRDefault="00A50A73"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nadogradnja postojećih informacijskih sustava s podacima neophodnim za prepoznavanje potencijalnih ograničenja te osjetljivosti prostora na izgradnju OIE objekata (proizvodnih postrojenja koja koriste OIE s pratećom infrastrukturom). </w:t>
            </w:r>
          </w:p>
        </w:tc>
      </w:tr>
      <w:tr w:rsidR="005123EF" w:rsidRPr="00D60728" w:rsidTr="005B76C4">
        <w:trPr>
          <w:trHeight w:val="964"/>
        </w:trPr>
        <w:tc>
          <w:tcPr>
            <w:tcW w:w="1129" w:type="dxa"/>
            <w:vMerge/>
            <w:vAlign w:val="center"/>
            <w:hideMark/>
          </w:tcPr>
          <w:p w:rsidR="005123EF" w:rsidRPr="00D60728" w:rsidRDefault="005123EF" w:rsidP="00BF7DCC">
            <w:pPr>
              <w:spacing w:line="240" w:lineRule="auto"/>
              <w:jc w:val="left"/>
              <w:rPr>
                <w:rFonts w:ascii="Times New Roman" w:hAnsi="Times New Roman"/>
                <w:sz w:val="20"/>
                <w:szCs w:val="20"/>
              </w:rPr>
            </w:pPr>
          </w:p>
        </w:tc>
        <w:tc>
          <w:tcPr>
            <w:tcW w:w="1418" w:type="dxa"/>
            <w:vAlign w:val="center"/>
            <w:hideMark/>
          </w:tcPr>
          <w:p w:rsidR="005123EF" w:rsidRPr="00D60728" w:rsidRDefault="005123EF"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5123EF" w:rsidRPr="00D60728" w:rsidRDefault="005123EF" w:rsidP="00BF7DCC">
            <w:pPr>
              <w:spacing w:line="240" w:lineRule="auto"/>
              <w:rPr>
                <w:rFonts w:ascii="Times New Roman" w:hAnsi="Times New Roman"/>
                <w:i/>
                <w:iCs/>
                <w:sz w:val="20"/>
                <w:szCs w:val="20"/>
              </w:rPr>
            </w:pPr>
            <w:r w:rsidRPr="00D60728">
              <w:rPr>
                <w:rFonts w:ascii="Times New Roman" w:hAnsi="Times New Roman"/>
                <w:i/>
                <w:iCs/>
                <w:sz w:val="20"/>
                <w:szCs w:val="20"/>
              </w:rPr>
              <w:t>MGIPU,</w:t>
            </w:r>
          </w:p>
          <w:p w:rsidR="005123EF" w:rsidRPr="00D60728" w:rsidRDefault="005123EF"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p w:rsidR="00CA6A59" w:rsidRPr="00D60728" w:rsidRDefault="00CA6A59" w:rsidP="00BF7DCC">
            <w:pPr>
              <w:spacing w:line="240" w:lineRule="auto"/>
              <w:rPr>
                <w:rFonts w:ascii="Times New Roman" w:hAnsi="Times New Roman"/>
                <w:i/>
                <w:iCs/>
                <w:sz w:val="20"/>
                <w:szCs w:val="20"/>
              </w:rPr>
            </w:pPr>
            <w:r w:rsidRPr="00D60728">
              <w:rPr>
                <w:rFonts w:ascii="Times New Roman" w:hAnsi="Times New Roman"/>
                <w:i/>
                <w:iCs/>
                <w:sz w:val="20"/>
                <w:szCs w:val="20"/>
              </w:rPr>
              <w:t>MPŠ</w:t>
            </w:r>
          </w:p>
          <w:p w:rsidR="005123EF" w:rsidRPr="00D60728" w:rsidRDefault="005123EF" w:rsidP="00BF7DCC">
            <w:pPr>
              <w:spacing w:line="240" w:lineRule="auto"/>
              <w:rPr>
                <w:rFonts w:ascii="Times New Roman" w:hAnsi="Times New Roman"/>
                <w:i/>
                <w:iCs/>
                <w:sz w:val="20"/>
                <w:szCs w:val="20"/>
              </w:rPr>
            </w:pPr>
            <w:r w:rsidRPr="008B2519">
              <w:rPr>
                <w:rFonts w:ascii="Times New Roman" w:hAnsi="Times New Roman"/>
                <w:i/>
                <w:iCs/>
                <w:sz w:val="20"/>
                <w:szCs w:val="20"/>
                <w:highlight w:val="yellow"/>
              </w:rPr>
              <w:t>županije, gradovi i općine</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A50A73" w:rsidRPr="00D60728" w:rsidRDefault="00A50A7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početna sredstva 1 000 000 kn + sredstva namijenjena za implementaciju strategije i akcijskog plana primjene mjera zaštite u postupcima prema posebnim zakonima + redovni rad državnih tijela + </w:t>
            </w:r>
            <w:r w:rsidRPr="008B2519">
              <w:rPr>
                <w:rFonts w:ascii="Times New Roman" w:hAnsi="Times New Roman"/>
                <w:i/>
                <w:iCs/>
                <w:sz w:val="20"/>
                <w:szCs w:val="20"/>
                <w:highlight w:val="yellow"/>
              </w:rPr>
              <w:t>novu generaciju prostornih planova</w:t>
            </w:r>
          </w:p>
          <w:p w:rsidR="00A50A73" w:rsidRPr="00D60728" w:rsidRDefault="00A50A7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EU sredstva, Svjetska banka (za mapiranje i analize); </w:t>
            </w:r>
            <w:r w:rsidRPr="008B2519">
              <w:rPr>
                <w:rFonts w:ascii="Times New Roman" w:hAnsi="Times New Roman"/>
                <w:i/>
                <w:iCs/>
                <w:sz w:val="20"/>
                <w:szCs w:val="20"/>
                <w:highlight w:val="yellow"/>
              </w:rPr>
              <w:t>proračun</w:t>
            </w:r>
            <w:r w:rsidRPr="00D60728">
              <w:rPr>
                <w:rFonts w:ascii="Times New Roman" w:hAnsi="Times New Roman"/>
                <w:i/>
                <w:iCs/>
                <w:sz w:val="20"/>
                <w:szCs w:val="20"/>
              </w:rPr>
              <w:t xml:space="preserve"> države, županija, </w:t>
            </w:r>
            <w:r w:rsidRPr="008B2519">
              <w:rPr>
                <w:rFonts w:ascii="Times New Roman" w:hAnsi="Times New Roman"/>
                <w:i/>
                <w:iCs/>
                <w:sz w:val="20"/>
                <w:szCs w:val="20"/>
                <w:highlight w:val="yellow"/>
              </w:rPr>
              <w:t>gradova i općina (za primjenu mjera zaštite u postupcima prema posebnim zakonima i novu generaciju prostornih planova)</w:t>
            </w:r>
          </w:p>
        </w:tc>
      </w:tr>
      <w:tr w:rsidR="005123EF" w:rsidRPr="00D60728" w:rsidTr="005B76C4">
        <w:trPr>
          <w:trHeight w:val="1134"/>
        </w:trPr>
        <w:tc>
          <w:tcPr>
            <w:tcW w:w="1129" w:type="dxa"/>
            <w:vMerge w:val="restart"/>
            <w:vAlign w:val="center"/>
            <w:hideMark/>
          </w:tcPr>
          <w:p w:rsidR="005123EF" w:rsidRPr="00D60728" w:rsidRDefault="005123EF"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5123EF" w:rsidRPr="00D60728" w:rsidRDefault="005123EF"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5123EF" w:rsidRPr="00D60728" w:rsidRDefault="005123EF"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Povećanje instalirane snage OIE u PP nove generacije, uz održivo korištenje prostora i prirodnih dobara (prihvatljive utjecaje na okoliš i prirodu); </w:t>
            </w:r>
          </w:p>
          <w:p w:rsidR="005123EF" w:rsidRPr="00D60728" w:rsidRDefault="005123EF"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emisije stakleničkih plinova.</w:t>
            </w:r>
          </w:p>
        </w:tc>
      </w:tr>
      <w:tr w:rsidR="005123EF" w:rsidRPr="00D60728" w:rsidTr="005B76C4">
        <w:trPr>
          <w:trHeight w:val="1701"/>
        </w:trPr>
        <w:tc>
          <w:tcPr>
            <w:tcW w:w="1129" w:type="dxa"/>
            <w:vMerge/>
            <w:vAlign w:val="center"/>
            <w:hideMark/>
          </w:tcPr>
          <w:p w:rsidR="005123EF" w:rsidRPr="00D60728" w:rsidRDefault="005123EF" w:rsidP="00BF7DCC">
            <w:pPr>
              <w:spacing w:line="240" w:lineRule="auto"/>
              <w:jc w:val="left"/>
              <w:rPr>
                <w:rFonts w:ascii="Times New Roman" w:hAnsi="Times New Roman"/>
                <w:sz w:val="20"/>
                <w:szCs w:val="20"/>
              </w:rPr>
            </w:pPr>
          </w:p>
        </w:tc>
        <w:tc>
          <w:tcPr>
            <w:tcW w:w="1418" w:type="dxa"/>
            <w:vAlign w:val="center"/>
          </w:tcPr>
          <w:p w:rsidR="005123EF" w:rsidRPr="00D60728" w:rsidRDefault="005123EF"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5123EF" w:rsidRPr="00D60728" w:rsidRDefault="005123EF"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Broj županija koje su definirale uvjete lokacije i izgradnje postrojenja za OIE, na temelju propisanih smjernica, a uz uvažanje osjetljivosti prostora na svom području uz primjenu mjera zaštite u postupcima prema posebnim zakonima; trajanje upravnih postupaka u okviru razvoja projekata OIE; instalirana snaga OIE objekata (proizvodnih postrojenja koja koriste OIE s pratećom infrastrukturom).</w:t>
            </w:r>
          </w:p>
        </w:tc>
      </w:tr>
    </w:tbl>
    <w:p w:rsidR="00A50A73" w:rsidRPr="00D60728" w:rsidRDefault="00A50A73" w:rsidP="00BF7DCC">
      <w:pPr>
        <w:spacing w:line="240" w:lineRule="auto"/>
        <w:rPr>
          <w:sz w:val="20"/>
          <w:szCs w:val="20"/>
        </w:rPr>
      </w:pPr>
    </w:p>
    <w:p w:rsidR="005B76C4" w:rsidRPr="00D60728" w:rsidRDefault="005B76C4"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A50A73" w:rsidRPr="00707212" w:rsidTr="005B76C4">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Poticanje korištenja OIE za proizvodnju električne i toplinske energije</w:t>
            </w:r>
          </w:p>
        </w:tc>
      </w:tr>
      <w:tr w:rsidR="00A50A73" w:rsidRPr="00D60728" w:rsidTr="005B76C4">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MEN-18</w:t>
            </w:r>
          </w:p>
        </w:tc>
      </w:tr>
      <w:tr w:rsidR="00A50A73" w:rsidRPr="00D60728" w:rsidTr="005B76C4">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5B76C4" w:rsidRPr="00D60728">
              <w:rPr>
                <w:rFonts w:ascii="Times New Roman" w:hAnsi="Times New Roman"/>
                <w:i/>
                <w:iCs/>
                <w:sz w:val="20"/>
                <w:szCs w:val="20"/>
              </w:rPr>
              <w:t>24</w:t>
            </w:r>
            <w:r w:rsidRPr="00D60728">
              <w:rPr>
                <w:rFonts w:ascii="Times New Roman" w:hAnsi="Times New Roman"/>
                <w:i/>
                <w:iCs/>
                <w:sz w:val="20"/>
                <w:szCs w:val="20"/>
              </w:rPr>
              <w:t>.</w:t>
            </w:r>
          </w:p>
        </w:tc>
      </w:tr>
      <w:tr w:rsidR="005B76C4" w:rsidRPr="00D60728" w:rsidTr="005B76C4">
        <w:trPr>
          <w:trHeight w:val="1247"/>
        </w:trPr>
        <w:tc>
          <w:tcPr>
            <w:tcW w:w="1129" w:type="dxa"/>
            <w:vMerge/>
            <w:vAlign w:val="center"/>
            <w:hideMark/>
          </w:tcPr>
          <w:p w:rsidR="005B76C4" w:rsidRPr="00D60728" w:rsidRDefault="005B76C4" w:rsidP="00BF7DCC">
            <w:pPr>
              <w:spacing w:line="240" w:lineRule="auto"/>
              <w:jc w:val="left"/>
              <w:rPr>
                <w:rFonts w:ascii="Times New Roman" w:hAnsi="Times New Roman"/>
                <w:sz w:val="20"/>
                <w:szCs w:val="20"/>
              </w:rPr>
            </w:pPr>
          </w:p>
        </w:tc>
        <w:tc>
          <w:tcPr>
            <w:tcW w:w="1418" w:type="dxa"/>
            <w:vAlign w:val="center"/>
            <w:hideMark/>
          </w:tcPr>
          <w:p w:rsidR="005B76C4" w:rsidRPr="00D60728" w:rsidRDefault="005B76C4"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vAlign w:val="center"/>
          </w:tcPr>
          <w:p w:rsidR="005B76C4" w:rsidRPr="00D60728" w:rsidRDefault="005B76C4"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Osiguravanje financijskih poticaja za razvoj projekata korištenja OIE za proizvodnju električne i toplinske energije. Poticanje korištenja OIE za proizvodnju električne i toplinske energije će se provoditi na nacionalnoj razini.</w:t>
            </w:r>
          </w:p>
        </w:tc>
      </w:tr>
      <w:tr w:rsidR="00A50A73" w:rsidRPr="00D60728" w:rsidTr="005B76C4">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A50A73" w:rsidRPr="00D60728" w:rsidRDefault="00A50A73" w:rsidP="00BF7DCC">
            <w:pPr>
              <w:pStyle w:val="ListParagraph"/>
              <w:numPr>
                <w:ilvl w:val="0"/>
                <w:numId w:val="68"/>
              </w:numPr>
              <w:spacing w:line="240" w:lineRule="auto"/>
              <w:ind w:left="284" w:hanging="284"/>
              <w:rPr>
                <w:rFonts w:ascii="Times New Roman" w:hAnsi="Times New Roman"/>
                <w:i/>
                <w:sz w:val="20"/>
                <w:szCs w:val="20"/>
              </w:rPr>
            </w:pPr>
            <w:r w:rsidRPr="00D60728">
              <w:rPr>
                <w:rFonts w:ascii="Times New Roman" w:hAnsi="Times New Roman"/>
                <w:i/>
                <w:sz w:val="20"/>
                <w:szCs w:val="20"/>
              </w:rPr>
              <w:t>HROTE nastavlja isplatu poticaja za proizvodnju električne energije elektranama koja koriste OIE u razdoblju trajanja ugovora o otkupu;</w:t>
            </w:r>
          </w:p>
          <w:p w:rsidR="00A50A73" w:rsidRPr="00D60728" w:rsidRDefault="00A50A73" w:rsidP="00BF7DCC">
            <w:pPr>
              <w:pStyle w:val="ListParagraph"/>
              <w:numPr>
                <w:ilvl w:val="0"/>
                <w:numId w:val="68"/>
              </w:numPr>
              <w:spacing w:line="240" w:lineRule="auto"/>
              <w:ind w:left="284" w:hanging="284"/>
              <w:rPr>
                <w:rFonts w:ascii="Times New Roman" w:hAnsi="Times New Roman"/>
                <w:i/>
                <w:sz w:val="20"/>
                <w:szCs w:val="20"/>
              </w:rPr>
            </w:pPr>
            <w:r w:rsidRPr="00D60728">
              <w:rPr>
                <w:rFonts w:ascii="Times New Roman" w:hAnsi="Times New Roman"/>
                <w:i/>
                <w:sz w:val="20"/>
                <w:szCs w:val="20"/>
              </w:rPr>
              <w:t>HROTE izrađuje trogodišnje planove za OIE i raspisuje natječaje za dodjelu tržišne premije;</w:t>
            </w:r>
          </w:p>
          <w:p w:rsidR="00A50A73" w:rsidRPr="00D60728" w:rsidRDefault="00A50A73" w:rsidP="00BF7DCC">
            <w:pPr>
              <w:pStyle w:val="ListParagraph"/>
              <w:numPr>
                <w:ilvl w:val="0"/>
                <w:numId w:val="68"/>
              </w:numPr>
              <w:spacing w:line="240" w:lineRule="auto"/>
              <w:ind w:left="284" w:hanging="284"/>
              <w:rPr>
                <w:rFonts w:ascii="Times New Roman" w:hAnsi="Times New Roman"/>
                <w:i/>
                <w:sz w:val="20"/>
                <w:szCs w:val="20"/>
              </w:rPr>
            </w:pPr>
            <w:r w:rsidRPr="00D60728">
              <w:rPr>
                <w:rFonts w:ascii="Times New Roman" w:hAnsi="Times New Roman"/>
                <w:i/>
                <w:sz w:val="20"/>
                <w:szCs w:val="20"/>
              </w:rPr>
              <w:t>HROTE uspostavlja funkcioniranje premijskog sustava prema Zakonu o OIEiVuK uz modifikacije sustava koje su omogućene promjenom tržnog statusa pojedinih OIE tehnologija te razvojem dan unaprijed i unutardnevnog tržišta električne energije, a isključivo radi ublažavanja tržnih rizika novih OIE projekata; premijski sustav se implementira u minimalnom opsegu kao tranzicijska mjera do pune tržišne integracije OIE;</w:t>
            </w:r>
          </w:p>
          <w:p w:rsidR="00A50A73" w:rsidRPr="00D60728" w:rsidRDefault="00A50A73" w:rsidP="00BF7DCC">
            <w:pPr>
              <w:pStyle w:val="ListParagraph"/>
              <w:numPr>
                <w:ilvl w:val="0"/>
                <w:numId w:val="68"/>
              </w:numPr>
              <w:spacing w:line="240" w:lineRule="auto"/>
              <w:ind w:left="284" w:hanging="284"/>
              <w:rPr>
                <w:rFonts w:ascii="Times New Roman" w:hAnsi="Times New Roman"/>
                <w:i/>
                <w:sz w:val="20"/>
                <w:szCs w:val="20"/>
              </w:rPr>
            </w:pPr>
            <w:r w:rsidRPr="00D60728">
              <w:rPr>
                <w:rFonts w:ascii="Times New Roman" w:hAnsi="Times New Roman"/>
                <w:i/>
                <w:sz w:val="20"/>
                <w:szCs w:val="20"/>
              </w:rPr>
              <w:t>Nastavit će se s aktivnostima pregleda i analize mogućih geotermalnih potencijala te inicirati pokretanje postupaka nadmetanja radi odabira najpovoljnijeg ponuditelja za istraživanje geotermalnih voda u energetske svrhe;</w:t>
            </w:r>
          </w:p>
          <w:p w:rsidR="00A50A73" w:rsidRPr="00D60728" w:rsidRDefault="00A50A73" w:rsidP="00BF7DCC">
            <w:pPr>
              <w:pStyle w:val="ListParagraph"/>
              <w:numPr>
                <w:ilvl w:val="0"/>
                <w:numId w:val="68"/>
              </w:numPr>
              <w:spacing w:line="240" w:lineRule="auto"/>
              <w:ind w:left="284" w:hanging="284"/>
              <w:rPr>
                <w:rFonts w:ascii="Times New Roman" w:hAnsi="Times New Roman"/>
                <w:i/>
                <w:sz w:val="20"/>
                <w:szCs w:val="20"/>
              </w:rPr>
            </w:pPr>
            <w:r w:rsidRPr="00D60728">
              <w:rPr>
                <w:rFonts w:ascii="Times New Roman" w:hAnsi="Times New Roman"/>
                <w:i/>
                <w:sz w:val="20"/>
                <w:szCs w:val="20"/>
              </w:rPr>
              <w:t>Nastavlja se primjena modela preuzimanja viškova energije iz postrojenja za samoopskrbu i krajnjih kupaca s vlastitom proizvodnjom uz eventualnu investicijsku potporu i obvezu opskrbljivača da preuzme viškove energije;</w:t>
            </w:r>
          </w:p>
          <w:p w:rsidR="00A50A73" w:rsidRPr="00D60728" w:rsidRDefault="00A50A73" w:rsidP="00BF7DCC">
            <w:pPr>
              <w:pStyle w:val="ListParagraph"/>
              <w:numPr>
                <w:ilvl w:val="0"/>
                <w:numId w:val="68"/>
              </w:numPr>
              <w:spacing w:line="240" w:lineRule="auto"/>
              <w:ind w:left="284" w:hanging="284"/>
              <w:rPr>
                <w:rFonts w:ascii="Times New Roman" w:hAnsi="Times New Roman"/>
                <w:i/>
                <w:sz w:val="20"/>
                <w:szCs w:val="20"/>
              </w:rPr>
            </w:pPr>
            <w:r w:rsidRPr="00D60728">
              <w:rPr>
                <w:rFonts w:ascii="Times New Roman" w:hAnsi="Times New Roman"/>
                <w:i/>
                <w:sz w:val="20"/>
                <w:szCs w:val="20"/>
              </w:rPr>
              <w:t>FZOEU sudjeluje s financijskim poticajima na strani investicije za projekte korištenja OIE za proizvodnju toplinske energije, i manje sustave koji koriste OIE;</w:t>
            </w:r>
          </w:p>
          <w:p w:rsidR="00A50A73" w:rsidRPr="00D60728" w:rsidRDefault="00A50A73" w:rsidP="00BF7DCC">
            <w:pPr>
              <w:pStyle w:val="ListParagraph"/>
              <w:numPr>
                <w:ilvl w:val="0"/>
                <w:numId w:val="68"/>
              </w:numPr>
              <w:spacing w:line="240" w:lineRule="auto"/>
              <w:ind w:left="284" w:hanging="284"/>
              <w:rPr>
                <w:rFonts w:ascii="Times New Roman" w:hAnsi="Times New Roman"/>
                <w:i/>
                <w:sz w:val="20"/>
                <w:szCs w:val="20"/>
              </w:rPr>
            </w:pPr>
            <w:r w:rsidRPr="00D60728">
              <w:rPr>
                <w:rFonts w:ascii="Times New Roman" w:hAnsi="Times New Roman"/>
                <w:i/>
                <w:sz w:val="20"/>
                <w:szCs w:val="20"/>
              </w:rPr>
              <w:t>FZOEU alocira dio sredstava dobivenih od prodaje emisijskih jedinica putem dražbi u okviru EU ETS-a za mjere poticanja OIE na investicijskoj strani i za rasterećenje krajnjih kupaca od rasta naknade za poticanje OIE;</w:t>
            </w:r>
          </w:p>
          <w:p w:rsidR="00A50A73" w:rsidRPr="00D60728" w:rsidRDefault="005B76C4" w:rsidP="00BF7DCC">
            <w:pPr>
              <w:pStyle w:val="ListParagraph"/>
              <w:numPr>
                <w:ilvl w:val="0"/>
                <w:numId w:val="68"/>
              </w:numPr>
              <w:spacing w:line="240" w:lineRule="auto"/>
              <w:ind w:left="284" w:hanging="284"/>
              <w:rPr>
                <w:rFonts w:ascii="Times New Roman" w:hAnsi="Times New Roman"/>
                <w:i/>
                <w:sz w:val="20"/>
                <w:szCs w:val="20"/>
              </w:rPr>
            </w:pPr>
            <w:r w:rsidRPr="00D60728">
              <w:rPr>
                <w:rFonts w:ascii="Times New Roman" w:hAnsi="Times New Roman"/>
                <w:i/>
                <w:sz w:val="20"/>
                <w:szCs w:val="20"/>
              </w:rPr>
              <w:t>MPŠ</w:t>
            </w:r>
            <w:r w:rsidR="00A50A73" w:rsidRPr="00D60728">
              <w:rPr>
                <w:rFonts w:ascii="Times New Roman" w:hAnsi="Times New Roman"/>
                <w:i/>
                <w:sz w:val="20"/>
                <w:szCs w:val="20"/>
              </w:rPr>
              <w:t xml:space="preserve"> kroz Program ruralnog razvoja osigurava financiranje investicijskih potpora za projekte biomase i drugih OIE. </w:t>
            </w:r>
          </w:p>
        </w:tc>
      </w:tr>
      <w:tr w:rsidR="005B76C4" w:rsidRPr="00D60728" w:rsidTr="005B76C4">
        <w:trPr>
          <w:trHeight w:val="1247"/>
        </w:trPr>
        <w:tc>
          <w:tcPr>
            <w:tcW w:w="1129" w:type="dxa"/>
            <w:vMerge/>
            <w:vAlign w:val="center"/>
            <w:hideMark/>
          </w:tcPr>
          <w:p w:rsidR="005B76C4" w:rsidRPr="00D60728" w:rsidRDefault="005B76C4" w:rsidP="00BF7DCC">
            <w:pPr>
              <w:spacing w:line="240" w:lineRule="auto"/>
              <w:jc w:val="left"/>
              <w:rPr>
                <w:rFonts w:ascii="Times New Roman" w:hAnsi="Times New Roman"/>
                <w:sz w:val="20"/>
                <w:szCs w:val="20"/>
              </w:rPr>
            </w:pPr>
          </w:p>
        </w:tc>
        <w:tc>
          <w:tcPr>
            <w:tcW w:w="1418" w:type="dxa"/>
            <w:vAlign w:val="center"/>
            <w:hideMark/>
          </w:tcPr>
          <w:p w:rsidR="005B76C4" w:rsidRPr="00D60728" w:rsidRDefault="005B76C4"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5B76C4" w:rsidRPr="00D60728" w:rsidRDefault="005B76C4"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HROTE </w:t>
            </w:r>
          </w:p>
          <w:p w:rsidR="005B76C4" w:rsidRPr="00D60728" w:rsidRDefault="005B76C4"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FZOEU; </w:t>
            </w:r>
          </w:p>
          <w:p w:rsidR="005B76C4" w:rsidRPr="00D60728" w:rsidRDefault="005B76C4"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MPŠ </w:t>
            </w:r>
          </w:p>
          <w:p w:rsidR="005B76C4" w:rsidRPr="00D60728" w:rsidRDefault="005B76C4"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AZU (Agencija za ugljikovodike) </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Financijska sredstva i </w:t>
            </w:r>
            <w:r w:rsidRPr="00D60728">
              <w:rPr>
                <w:rFonts w:ascii="Times New Roman" w:hAnsi="Times New Roman"/>
                <w:sz w:val="20"/>
                <w:szCs w:val="20"/>
              </w:rPr>
              <w:lastRenderedPageBreak/>
              <w:t>izvori financiranja</w:t>
            </w:r>
          </w:p>
        </w:tc>
        <w:tc>
          <w:tcPr>
            <w:tcW w:w="6628" w:type="dxa"/>
            <w:vAlign w:val="center"/>
          </w:tcPr>
          <w:p w:rsidR="00A50A73" w:rsidRPr="00D60728" w:rsidRDefault="00A50A7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lastRenderedPageBreak/>
              <w:t>6-8 milijardi kuna za čitavo promatrano razdoblje</w:t>
            </w:r>
          </w:p>
          <w:p w:rsidR="00A50A73" w:rsidRPr="00D60728" w:rsidRDefault="00A50A7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lastRenderedPageBreak/>
              <w:t>Naknada za OIE (HROTE); sredstava od prodaje obnovljive energije na tržištu; prihodi od trgovine jamstvima podrijetla; sredstva dobivena od prodaje emisijskih jedinica na dražbi (FZOEU) za investicijske potpore OIE i kao dodatni prihod FZOEU za operativno poticanje OIE kojim upravlja HROTE; sredstava iz EU fondova; sredstva iz posebnih fondova (Europski poljoprivredni fond za ruralni razvoj, i dr.) kao potpora za projekte biomase.</w:t>
            </w:r>
          </w:p>
        </w:tc>
      </w:tr>
      <w:tr w:rsidR="00950A40" w:rsidRPr="00D60728" w:rsidTr="00950A40">
        <w:trPr>
          <w:trHeight w:val="1417"/>
        </w:trPr>
        <w:tc>
          <w:tcPr>
            <w:tcW w:w="1129" w:type="dxa"/>
            <w:vMerge w:val="restart"/>
            <w:vAlign w:val="center"/>
            <w:hideMark/>
          </w:tcPr>
          <w:p w:rsidR="00950A40" w:rsidRPr="00D60728" w:rsidRDefault="00950A40" w:rsidP="00BF7DCC">
            <w:pPr>
              <w:spacing w:line="240" w:lineRule="auto"/>
              <w:jc w:val="left"/>
              <w:rPr>
                <w:rFonts w:ascii="Times New Roman" w:hAnsi="Times New Roman"/>
                <w:sz w:val="20"/>
                <w:szCs w:val="20"/>
              </w:rPr>
            </w:pPr>
            <w:r w:rsidRPr="00D60728">
              <w:rPr>
                <w:rFonts w:ascii="Times New Roman" w:hAnsi="Times New Roman"/>
                <w:sz w:val="20"/>
                <w:szCs w:val="20"/>
              </w:rPr>
              <w:lastRenderedPageBreak/>
              <w:t>Praćenje provedbe</w:t>
            </w:r>
          </w:p>
        </w:tc>
        <w:tc>
          <w:tcPr>
            <w:tcW w:w="1418" w:type="dxa"/>
            <w:vAlign w:val="center"/>
          </w:tcPr>
          <w:p w:rsidR="00950A40" w:rsidRPr="00D60728" w:rsidRDefault="00950A40"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950A40" w:rsidRPr="00D60728" w:rsidRDefault="00950A40"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Mjera će osigurati povećanje proizvodnje energije i udjela OIE u ukupnoj potrošnji energije te posljedično smanjenje emisije stakleničkih plinova; </w:t>
            </w:r>
          </w:p>
          <w:p w:rsidR="00950A40" w:rsidRPr="00D60728" w:rsidRDefault="00950A40"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Također se stvaraju preduvjeti za uspostavu sustava monitoringa za ispunjavanje kriterija održivosti i očekivanih smanjenja emisija stakleničkih plinova kod postrojenja koja koriste biomasu.</w:t>
            </w:r>
          </w:p>
        </w:tc>
      </w:tr>
      <w:tr w:rsidR="00950A40" w:rsidRPr="00D60728" w:rsidTr="00950A40">
        <w:trPr>
          <w:trHeight w:val="1474"/>
        </w:trPr>
        <w:tc>
          <w:tcPr>
            <w:tcW w:w="1129" w:type="dxa"/>
            <w:vMerge/>
            <w:vAlign w:val="center"/>
            <w:hideMark/>
          </w:tcPr>
          <w:p w:rsidR="00950A40" w:rsidRPr="00D60728" w:rsidRDefault="00950A40" w:rsidP="00BF7DCC">
            <w:pPr>
              <w:spacing w:line="240" w:lineRule="auto"/>
              <w:jc w:val="left"/>
              <w:rPr>
                <w:rFonts w:ascii="Times New Roman" w:hAnsi="Times New Roman"/>
                <w:sz w:val="20"/>
                <w:szCs w:val="20"/>
              </w:rPr>
            </w:pPr>
          </w:p>
        </w:tc>
        <w:tc>
          <w:tcPr>
            <w:tcW w:w="1418" w:type="dxa"/>
            <w:vAlign w:val="center"/>
          </w:tcPr>
          <w:p w:rsidR="00950A40" w:rsidRPr="00D60728" w:rsidRDefault="00950A40"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950A40" w:rsidRPr="00D60728" w:rsidRDefault="00950A40"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Energetska bilanca i to: 1) količina proizvodne električne energije iz OIE, prema izvješćima HROTE-a i operatora sustava; 2) količina proizvedene energije za grijanje i hlađenje, prema statističkim izvješćima. Praćenje učinaka će se odvijati i kroz mjerenje udjela organske tvari u tlu i udjela ugljika.</w:t>
            </w:r>
          </w:p>
        </w:tc>
      </w:tr>
    </w:tbl>
    <w:p w:rsidR="00A50A73" w:rsidRPr="00D60728" w:rsidRDefault="00A50A73" w:rsidP="00BF7DCC">
      <w:pPr>
        <w:spacing w:line="240" w:lineRule="auto"/>
        <w:rPr>
          <w:sz w:val="20"/>
          <w:szCs w:val="20"/>
        </w:rPr>
      </w:pPr>
    </w:p>
    <w:p w:rsidR="00950A40" w:rsidRPr="00D60728" w:rsidRDefault="00950A40" w:rsidP="00BF7DCC">
      <w:pPr>
        <w:spacing w:line="240" w:lineRule="auto"/>
      </w:pPr>
    </w:p>
    <w:tbl>
      <w:tblPr>
        <w:tblStyle w:val="TableGrid"/>
        <w:tblW w:w="9175" w:type="dxa"/>
        <w:tblLayout w:type="fixed"/>
        <w:tblLook w:val="04A0" w:firstRow="1" w:lastRow="0" w:firstColumn="1" w:lastColumn="0" w:noHBand="0" w:noVBand="1"/>
      </w:tblPr>
      <w:tblGrid>
        <w:gridCol w:w="1129"/>
        <w:gridCol w:w="1418"/>
        <w:gridCol w:w="6628"/>
      </w:tblGrid>
      <w:tr w:rsidR="00A50A73" w:rsidRPr="00707212" w:rsidTr="00950A40">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Razrada regulatornog okvira za korištenje OIE</w:t>
            </w:r>
          </w:p>
        </w:tc>
      </w:tr>
      <w:tr w:rsidR="00A50A73" w:rsidRPr="00D60728" w:rsidTr="00950A40">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MEN-19</w:t>
            </w:r>
          </w:p>
        </w:tc>
      </w:tr>
      <w:tr w:rsidR="00A50A73" w:rsidRPr="00D60728" w:rsidTr="00950A40">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A50A73" w:rsidRPr="00D60728" w:rsidTr="00950A40">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A50A73" w:rsidRPr="00D60728" w:rsidTr="00950A40">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950A40" w:rsidRPr="00D60728">
              <w:rPr>
                <w:rFonts w:ascii="Times New Roman" w:hAnsi="Times New Roman"/>
                <w:i/>
                <w:iCs/>
                <w:sz w:val="20"/>
                <w:szCs w:val="20"/>
              </w:rPr>
              <w:t>22</w:t>
            </w:r>
            <w:r w:rsidRPr="00D60728">
              <w:rPr>
                <w:rFonts w:ascii="Times New Roman" w:hAnsi="Times New Roman"/>
                <w:i/>
                <w:iCs/>
                <w:sz w:val="20"/>
                <w:szCs w:val="20"/>
              </w:rPr>
              <w:t>.</w:t>
            </w:r>
          </w:p>
        </w:tc>
      </w:tr>
      <w:tr w:rsidR="00A50A73" w:rsidRPr="00D60728" w:rsidTr="00950A40">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A50A73" w:rsidRPr="00D60728" w:rsidRDefault="00A50A73" w:rsidP="00BF7DCC">
            <w:pPr>
              <w:pStyle w:val="ListParagraph"/>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Dopuniti postojeći zakonski okvir i razraditi procedure i praksu;</w:t>
            </w:r>
          </w:p>
          <w:p w:rsidR="00A50A73" w:rsidRPr="00D60728" w:rsidRDefault="00A50A73" w:rsidP="00BF7DCC">
            <w:pPr>
              <w:pStyle w:val="ListParagraph"/>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Do 2022. u potpunosti donijeti regulatorni okvir i uhodane procedure na nacionalnoj razini.</w:t>
            </w:r>
          </w:p>
        </w:tc>
      </w:tr>
      <w:tr w:rsidR="00950A40" w:rsidRPr="00D60728" w:rsidTr="00707212">
        <w:trPr>
          <w:trHeight w:val="5368"/>
        </w:trPr>
        <w:tc>
          <w:tcPr>
            <w:tcW w:w="1129" w:type="dxa"/>
            <w:vMerge/>
            <w:vAlign w:val="center"/>
          </w:tcPr>
          <w:p w:rsidR="00950A40" w:rsidRPr="00D60728" w:rsidRDefault="00950A40" w:rsidP="00BF7DCC">
            <w:pPr>
              <w:spacing w:line="240" w:lineRule="auto"/>
              <w:jc w:val="left"/>
              <w:rPr>
                <w:rFonts w:ascii="Times New Roman" w:hAnsi="Times New Roman"/>
                <w:sz w:val="20"/>
                <w:szCs w:val="20"/>
              </w:rPr>
            </w:pPr>
          </w:p>
        </w:tc>
        <w:tc>
          <w:tcPr>
            <w:tcW w:w="1418" w:type="dxa"/>
            <w:vAlign w:val="center"/>
          </w:tcPr>
          <w:p w:rsidR="00950A40" w:rsidRPr="00D60728" w:rsidRDefault="00950A40"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shd w:val="clear" w:color="auto" w:fill="FFFFFF" w:themeFill="background1"/>
            <w:vAlign w:val="center"/>
          </w:tcPr>
          <w:p w:rsidR="00950A40" w:rsidRPr="00D60728" w:rsidRDefault="00950A40" w:rsidP="00BF7DCC">
            <w:pPr>
              <w:spacing w:line="240" w:lineRule="auto"/>
              <w:rPr>
                <w:rFonts w:ascii="Times New Roman" w:hAnsi="Times New Roman"/>
                <w:i/>
                <w:iCs/>
                <w:sz w:val="20"/>
                <w:szCs w:val="20"/>
              </w:rPr>
            </w:pPr>
            <w:r w:rsidRPr="00D60728">
              <w:rPr>
                <w:rFonts w:ascii="Times New Roman" w:hAnsi="Times New Roman"/>
                <w:i/>
                <w:iCs/>
                <w:sz w:val="20"/>
                <w:szCs w:val="20"/>
              </w:rPr>
              <w:t>Trenutačni regulatorni okvir za korištenje obnovljivih izvora energije pokriven je s nekoliko zakona. Kao ključni zakon vrijedi izdvojiti Zakon o obnovljivim izvorima energije i visokoučinkovitoj kogeneraciji s nizom podzakonskih akata. Postojeća zakonska rješenja potrebno je nadopuniti s razradom regulatornog okvira za aktivne kupce, agregatore, energetske zajednice, zajednice obnovljive energije (sudjelovanje u lokalnoj proizvodnji energije, distribuciji, pohrani i opskrbi te pružanju energetskih usluga i uslugama agregacije) i proizvodnju energije za vlastite potrebe, sukladno odredbama direktive o promicanju uporabe energije iz obnovljivih izvora energije, direktive o električnoj energiji i uredbe o unutarnjem tržištu električne energije. Prema potrebi, izradit će se akcijski plan za razvoj energetskih zajednica i zajednica obnovljive energije. Također, potrebno je uspostaviti regulatorni okvir i uvjete za uspostavu praćenja kriterija održivosti, smanjenja emisije stakleničkih plinova za biogoriva, tekuća biogoriva i goriva iz biomase te korištenje digestata za gnojidbu čime se omogućuje dekarbonizacija poljoprivrede kroz veću primjenu korištenja organskih gnojiva, povećanje organske tvari u tlu te smanjenje troškova agro-inputa. Potrebno je uspostaviti regulatorni okvir kojim bi se povezali procesi korištenja geotermalne energije koji u sebi uključuju fazu istraživanja sukladno Zakonu o istraživanju i eksploataciji ugljikovodika te fazu proizvodnje električne i toplinske energije sukladno Zakonu o obnovljivim izvorima energije i visokoučinkovitoj kogeneraciji.</w:t>
            </w:r>
          </w:p>
        </w:tc>
      </w:tr>
      <w:tr w:rsidR="00A50A73" w:rsidRPr="00D60728" w:rsidTr="00950A40">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lastRenderedPageBreak/>
              <w:t>Način provedbe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A50A73" w:rsidRPr="00D60728" w:rsidRDefault="00A50A73" w:rsidP="00BF7DCC">
            <w:pPr>
              <w:pStyle w:val="ListParagraph"/>
              <w:numPr>
                <w:ilvl w:val="0"/>
                <w:numId w:val="69"/>
              </w:numPr>
              <w:spacing w:line="240" w:lineRule="auto"/>
              <w:ind w:left="284" w:hanging="284"/>
              <w:rPr>
                <w:rFonts w:ascii="Times New Roman" w:hAnsi="Times New Roman"/>
                <w:i/>
                <w:sz w:val="20"/>
                <w:szCs w:val="20"/>
              </w:rPr>
            </w:pPr>
            <w:r w:rsidRPr="00D60728">
              <w:rPr>
                <w:rFonts w:ascii="Times New Roman" w:hAnsi="Times New Roman"/>
                <w:i/>
                <w:sz w:val="20"/>
                <w:szCs w:val="20"/>
              </w:rPr>
              <w:t>MZOE uređuje regulatorni okvir za proizvodnju na mjestu potrošnje, definiranjem pravila priključka, obaveze otkupa i neto mjerenja;</w:t>
            </w:r>
          </w:p>
          <w:p w:rsidR="00A50A73" w:rsidRPr="00D60728" w:rsidRDefault="00A50A73" w:rsidP="00BF7DCC">
            <w:pPr>
              <w:pStyle w:val="ListParagraph"/>
              <w:numPr>
                <w:ilvl w:val="0"/>
                <w:numId w:val="69"/>
              </w:numPr>
              <w:spacing w:line="240" w:lineRule="auto"/>
              <w:ind w:left="284" w:hanging="284"/>
              <w:rPr>
                <w:rFonts w:ascii="Times New Roman" w:hAnsi="Times New Roman"/>
                <w:i/>
                <w:sz w:val="20"/>
                <w:szCs w:val="20"/>
              </w:rPr>
            </w:pPr>
            <w:r w:rsidRPr="00D60728">
              <w:rPr>
                <w:rFonts w:ascii="Times New Roman" w:hAnsi="Times New Roman"/>
                <w:i/>
                <w:sz w:val="20"/>
                <w:szCs w:val="20"/>
              </w:rPr>
              <w:t>MGIPU uređuje i uvodi obaveze za korištenje sustava OIE na novim zgradama (regulativa vezana za zgradarstvo);</w:t>
            </w:r>
          </w:p>
          <w:p w:rsidR="00A50A73" w:rsidRPr="00D60728" w:rsidRDefault="00A50A73" w:rsidP="00BF7DCC">
            <w:pPr>
              <w:pStyle w:val="ListParagraph"/>
              <w:numPr>
                <w:ilvl w:val="0"/>
                <w:numId w:val="69"/>
              </w:numPr>
              <w:spacing w:line="240" w:lineRule="auto"/>
              <w:ind w:left="284" w:hanging="284"/>
              <w:rPr>
                <w:rFonts w:ascii="Times New Roman" w:hAnsi="Times New Roman"/>
                <w:i/>
                <w:sz w:val="20"/>
                <w:szCs w:val="20"/>
              </w:rPr>
            </w:pPr>
            <w:r w:rsidRPr="00D60728">
              <w:rPr>
                <w:rFonts w:ascii="Times New Roman" w:hAnsi="Times New Roman"/>
                <w:i/>
                <w:sz w:val="20"/>
                <w:szCs w:val="20"/>
              </w:rPr>
              <w:t>HERA i HEP-ODS izrađuju nove metodologije određivanja naknade za distribucijsku mrežu koja bi uvažila distribuiranu proizvodnju kod kupaca energije;</w:t>
            </w:r>
          </w:p>
          <w:p w:rsidR="00A50A73" w:rsidRPr="00D60728" w:rsidRDefault="00A50A73" w:rsidP="00BF7DCC">
            <w:pPr>
              <w:pStyle w:val="ListParagraph"/>
              <w:numPr>
                <w:ilvl w:val="0"/>
                <w:numId w:val="69"/>
              </w:numPr>
              <w:spacing w:line="240" w:lineRule="auto"/>
              <w:ind w:left="284" w:hanging="284"/>
              <w:rPr>
                <w:rFonts w:ascii="Times New Roman" w:hAnsi="Times New Roman"/>
                <w:i/>
                <w:sz w:val="20"/>
                <w:szCs w:val="20"/>
              </w:rPr>
            </w:pPr>
            <w:r w:rsidRPr="00D60728">
              <w:rPr>
                <w:rFonts w:ascii="Times New Roman" w:hAnsi="Times New Roman"/>
                <w:i/>
                <w:sz w:val="20"/>
                <w:szCs w:val="20"/>
              </w:rPr>
              <w:t>MGIPU osigurava nastavak funkcioniranja sustava certificiranih instalatera za male OIE sustave ;</w:t>
            </w:r>
          </w:p>
          <w:p w:rsidR="00A50A73" w:rsidRPr="00D60728" w:rsidRDefault="00A50A73" w:rsidP="00BF7DCC">
            <w:pPr>
              <w:pStyle w:val="ListParagraph"/>
              <w:numPr>
                <w:ilvl w:val="0"/>
                <w:numId w:val="69"/>
              </w:numPr>
              <w:spacing w:line="240" w:lineRule="auto"/>
              <w:ind w:left="284" w:hanging="284"/>
              <w:rPr>
                <w:rFonts w:ascii="Times New Roman" w:hAnsi="Times New Roman"/>
                <w:i/>
                <w:sz w:val="20"/>
                <w:szCs w:val="20"/>
              </w:rPr>
            </w:pPr>
            <w:r w:rsidRPr="00D60728">
              <w:rPr>
                <w:rFonts w:ascii="Times New Roman" w:hAnsi="Times New Roman"/>
                <w:i/>
                <w:sz w:val="20"/>
                <w:szCs w:val="20"/>
              </w:rPr>
              <w:t>Svi sudionici imaju zadatak osigurati općenito pojednostavljenje, uređenje i uhodavanje administrativnih procedura;</w:t>
            </w:r>
          </w:p>
          <w:p w:rsidR="00A50A73" w:rsidRPr="00D60728" w:rsidRDefault="00A50A73" w:rsidP="00BF7DCC">
            <w:pPr>
              <w:pStyle w:val="ListParagraph"/>
              <w:numPr>
                <w:ilvl w:val="0"/>
                <w:numId w:val="69"/>
              </w:numPr>
              <w:spacing w:line="240" w:lineRule="auto"/>
              <w:ind w:left="284" w:hanging="284"/>
              <w:rPr>
                <w:rFonts w:ascii="Times New Roman" w:hAnsi="Times New Roman"/>
                <w:i/>
                <w:sz w:val="20"/>
                <w:szCs w:val="20"/>
              </w:rPr>
            </w:pPr>
            <w:r w:rsidRPr="00D60728">
              <w:rPr>
                <w:rFonts w:ascii="Times New Roman" w:hAnsi="Times New Roman"/>
                <w:i/>
                <w:sz w:val="20"/>
                <w:szCs w:val="20"/>
              </w:rPr>
              <w:t>MDI omogućuje jednostavnije reguliranje korištenja državnog zemljišta i smanjenje naknada;</w:t>
            </w:r>
          </w:p>
          <w:p w:rsidR="00A50A73" w:rsidRPr="00D60728" w:rsidRDefault="00A50A73" w:rsidP="00BF7DCC">
            <w:pPr>
              <w:pStyle w:val="ListParagraph"/>
              <w:numPr>
                <w:ilvl w:val="0"/>
                <w:numId w:val="69"/>
              </w:numPr>
              <w:spacing w:line="240" w:lineRule="auto"/>
              <w:ind w:left="284" w:hanging="284"/>
              <w:rPr>
                <w:rFonts w:ascii="Times New Roman" w:hAnsi="Times New Roman"/>
                <w:i/>
                <w:sz w:val="20"/>
                <w:szCs w:val="20"/>
              </w:rPr>
            </w:pPr>
            <w:r w:rsidRPr="00D60728">
              <w:rPr>
                <w:rFonts w:ascii="Times New Roman" w:hAnsi="Times New Roman"/>
                <w:i/>
                <w:sz w:val="20"/>
                <w:szCs w:val="20"/>
              </w:rPr>
              <w:t>MPŠ osigurava uspostavu i praćenje kriterija održivosti i korištenja digestata;</w:t>
            </w:r>
          </w:p>
          <w:p w:rsidR="00A50A73" w:rsidRPr="00D60728" w:rsidRDefault="00A50A73" w:rsidP="00BF7DCC">
            <w:pPr>
              <w:pStyle w:val="ListParagraph"/>
              <w:numPr>
                <w:ilvl w:val="0"/>
                <w:numId w:val="69"/>
              </w:numPr>
              <w:spacing w:line="240" w:lineRule="auto"/>
              <w:ind w:left="284" w:hanging="284"/>
              <w:rPr>
                <w:rFonts w:ascii="Times New Roman" w:hAnsi="Times New Roman"/>
                <w:i/>
                <w:sz w:val="20"/>
                <w:szCs w:val="20"/>
              </w:rPr>
            </w:pPr>
            <w:r w:rsidRPr="00D60728">
              <w:rPr>
                <w:rFonts w:ascii="Times New Roman" w:hAnsi="Times New Roman"/>
                <w:i/>
                <w:sz w:val="20"/>
                <w:szCs w:val="20"/>
              </w:rPr>
              <w:t>Uređivanje područja bilateralnog ugovaranja (korporativni ugovor o otkupu).</w:t>
            </w:r>
          </w:p>
        </w:tc>
      </w:tr>
      <w:tr w:rsidR="00950A40" w:rsidRPr="00D60728" w:rsidTr="00950A40">
        <w:trPr>
          <w:trHeight w:val="964"/>
        </w:trPr>
        <w:tc>
          <w:tcPr>
            <w:tcW w:w="1129" w:type="dxa"/>
            <w:vMerge/>
            <w:vAlign w:val="center"/>
            <w:hideMark/>
          </w:tcPr>
          <w:p w:rsidR="00950A40" w:rsidRPr="00D60728" w:rsidRDefault="00950A40" w:rsidP="00BF7DCC">
            <w:pPr>
              <w:spacing w:line="240" w:lineRule="auto"/>
              <w:jc w:val="left"/>
              <w:rPr>
                <w:rFonts w:ascii="Times New Roman" w:hAnsi="Times New Roman"/>
                <w:sz w:val="20"/>
                <w:szCs w:val="20"/>
              </w:rPr>
            </w:pPr>
          </w:p>
        </w:tc>
        <w:tc>
          <w:tcPr>
            <w:tcW w:w="1418" w:type="dxa"/>
            <w:vAlign w:val="center"/>
            <w:hideMark/>
          </w:tcPr>
          <w:p w:rsidR="00950A40" w:rsidRPr="00D60728" w:rsidRDefault="00950A40"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950A40" w:rsidRPr="00D60728" w:rsidRDefault="00950A40"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MZOE </w:t>
            </w:r>
          </w:p>
          <w:p w:rsidR="00950A40" w:rsidRPr="00D60728" w:rsidRDefault="00950A40" w:rsidP="00BF7DCC">
            <w:pPr>
              <w:spacing w:line="240" w:lineRule="auto"/>
              <w:rPr>
                <w:rFonts w:ascii="Times New Roman" w:hAnsi="Times New Roman"/>
                <w:i/>
                <w:iCs/>
                <w:sz w:val="20"/>
                <w:szCs w:val="20"/>
              </w:rPr>
            </w:pPr>
            <w:r w:rsidRPr="00D60728">
              <w:rPr>
                <w:rFonts w:ascii="Times New Roman" w:hAnsi="Times New Roman"/>
                <w:i/>
                <w:iCs/>
                <w:sz w:val="20"/>
                <w:szCs w:val="20"/>
              </w:rPr>
              <w:t>MGIPU</w:t>
            </w:r>
          </w:p>
          <w:p w:rsidR="00950A40" w:rsidRPr="00D60728" w:rsidRDefault="00950A40" w:rsidP="00BF7DCC">
            <w:pPr>
              <w:spacing w:line="240" w:lineRule="auto"/>
              <w:rPr>
                <w:rFonts w:ascii="Times New Roman" w:hAnsi="Times New Roman"/>
                <w:i/>
                <w:iCs/>
                <w:sz w:val="20"/>
                <w:szCs w:val="20"/>
              </w:rPr>
            </w:pPr>
            <w:r w:rsidRPr="00D60728">
              <w:rPr>
                <w:rFonts w:ascii="Times New Roman" w:hAnsi="Times New Roman"/>
                <w:i/>
                <w:iCs/>
                <w:sz w:val="20"/>
                <w:szCs w:val="20"/>
              </w:rPr>
              <w:t>HERA.</w:t>
            </w:r>
          </w:p>
        </w:tc>
      </w:tr>
      <w:tr w:rsidR="00A50A73" w:rsidRPr="00D60728" w:rsidTr="00950A40">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A50A73" w:rsidRPr="00D60728" w:rsidRDefault="00A50A7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Proračunska sredstva</w:t>
            </w:r>
          </w:p>
        </w:tc>
      </w:tr>
      <w:tr w:rsidR="00950A40" w:rsidRPr="00D60728" w:rsidTr="00950A40">
        <w:trPr>
          <w:trHeight w:val="624"/>
        </w:trPr>
        <w:tc>
          <w:tcPr>
            <w:tcW w:w="1129" w:type="dxa"/>
            <w:vMerge w:val="restart"/>
            <w:vAlign w:val="center"/>
            <w:hideMark/>
          </w:tcPr>
          <w:p w:rsidR="00950A40" w:rsidRPr="00D60728" w:rsidRDefault="00950A40"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950A40" w:rsidRPr="00D60728" w:rsidRDefault="00950A40"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950A40" w:rsidRPr="00D60728" w:rsidRDefault="00950A40"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Rezultat primjene mjere je funkcionalno tržište OIE te povećanje proizvodnje energije i udjela OIE u ukupnoj potrošnji energije.</w:t>
            </w:r>
          </w:p>
        </w:tc>
      </w:tr>
      <w:tr w:rsidR="00950A40" w:rsidRPr="00D60728" w:rsidTr="00950A40">
        <w:trPr>
          <w:trHeight w:val="1020"/>
        </w:trPr>
        <w:tc>
          <w:tcPr>
            <w:tcW w:w="1129" w:type="dxa"/>
            <w:vMerge/>
            <w:vAlign w:val="center"/>
            <w:hideMark/>
          </w:tcPr>
          <w:p w:rsidR="00950A40" w:rsidRPr="00D60728" w:rsidRDefault="00950A40" w:rsidP="00BF7DCC">
            <w:pPr>
              <w:spacing w:line="240" w:lineRule="auto"/>
              <w:jc w:val="left"/>
              <w:rPr>
                <w:rFonts w:ascii="Times New Roman" w:hAnsi="Times New Roman"/>
                <w:sz w:val="20"/>
                <w:szCs w:val="20"/>
              </w:rPr>
            </w:pPr>
          </w:p>
        </w:tc>
        <w:tc>
          <w:tcPr>
            <w:tcW w:w="1418" w:type="dxa"/>
            <w:vAlign w:val="center"/>
          </w:tcPr>
          <w:p w:rsidR="00950A40" w:rsidRPr="00D60728" w:rsidRDefault="00950A40"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950A40" w:rsidRPr="00D60728" w:rsidRDefault="00950A40"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Energetska bilanca, plan i provedba donošenja zakonodavnih akata</w:t>
            </w:r>
          </w:p>
        </w:tc>
      </w:tr>
    </w:tbl>
    <w:p w:rsidR="00A50A73" w:rsidRPr="00D60728" w:rsidRDefault="00A50A73" w:rsidP="00BF7DCC">
      <w:pPr>
        <w:spacing w:line="240" w:lineRule="auto"/>
        <w:rPr>
          <w:sz w:val="20"/>
          <w:szCs w:val="20"/>
        </w:rPr>
      </w:pPr>
    </w:p>
    <w:p w:rsidR="00950A40" w:rsidRPr="00D60728" w:rsidRDefault="00950A40" w:rsidP="00BF7DCC">
      <w:pPr>
        <w:spacing w:line="240" w:lineRule="auto"/>
      </w:pPr>
    </w:p>
    <w:tbl>
      <w:tblPr>
        <w:tblStyle w:val="TableGrid"/>
        <w:tblW w:w="9175" w:type="dxa"/>
        <w:tblLayout w:type="fixed"/>
        <w:tblLook w:val="04A0" w:firstRow="1" w:lastRow="0" w:firstColumn="1" w:lastColumn="0" w:noHBand="0" w:noVBand="1"/>
      </w:tblPr>
      <w:tblGrid>
        <w:gridCol w:w="1129"/>
        <w:gridCol w:w="1418"/>
        <w:gridCol w:w="6628"/>
      </w:tblGrid>
      <w:tr w:rsidR="00A50A73" w:rsidRPr="00707212" w:rsidTr="00950A40">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707212">
            <w:pPr>
              <w:spacing w:line="240" w:lineRule="auto"/>
              <w:ind w:right="57"/>
              <w:jc w:val="left"/>
              <w:rPr>
                <w:rFonts w:ascii="Times New Roman" w:hAnsi="Times New Roman"/>
                <w:b/>
                <w:i/>
                <w:iCs/>
              </w:rPr>
            </w:pPr>
            <w:r w:rsidRPr="00707212">
              <w:rPr>
                <w:rFonts w:ascii="Times New Roman" w:hAnsi="Times New Roman"/>
                <w:b/>
                <w:i/>
                <w:iCs/>
              </w:rPr>
              <w:t>Integrirano planiranje sigurnosti opskrbe energijom i energentima</w:t>
            </w:r>
          </w:p>
        </w:tc>
      </w:tr>
      <w:tr w:rsidR="00A50A73" w:rsidRPr="00D60728" w:rsidTr="009A0093">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shd w:val="clear" w:color="auto" w:fill="auto"/>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MEN-2</w:t>
            </w:r>
            <w:r w:rsidR="008B79F6" w:rsidRPr="00D60728">
              <w:rPr>
                <w:rFonts w:ascii="Times New Roman" w:hAnsi="Times New Roman"/>
                <w:i/>
                <w:iCs/>
                <w:sz w:val="20"/>
                <w:szCs w:val="20"/>
              </w:rPr>
              <w:t>0</w:t>
            </w:r>
          </w:p>
        </w:tc>
      </w:tr>
      <w:tr w:rsidR="00A50A73" w:rsidRPr="00D60728" w:rsidTr="00950A40">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A50A73" w:rsidRPr="00D60728" w:rsidTr="00950A40">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A50A73" w:rsidRPr="00D60728" w:rsidTr="00950A40">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9A0093" w:rsidRPr="00D60728">
              <w:rPr>
                <w:rFonts w:ascii="Times New Roman" w:hAnsi="Times New Roman"/>
                <w:i/>
                <w:iCs/>
                <w:sz w:val="20"/>
                <w:szCs w:val="20"/>
              </w:rPr>
              <w:t>24</w:t>
            </w:r>
            <w:r w:rsidRPr="00D60728">
              <w:rPr>
                <w:rFonts w:ascii="Times New Roman" w:hAnsi="Times New Roman"/>
                <w:i/>
                <w:iCs/>
                <w:sz w:val="20"/>
                <w:szCs w:val="20"/>
              </w:rPr>
              <w:t>.</w:t>
            </w:r>
          </w:p>
        </w:tc>
      </w:tr>
      <w:tr w:rsidR="00A50A73" w:rsidRPr="00D60728" w:rsidTr="00950A40">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A50A73" w:rsidRPr="00D60728" w:rsidRDefault="00823AE5"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Povećanje sigurnosti opskrbe energijom</w:t>
            </w:r>
          </w:p>
        </w:tc>
      </w:tr>
      <w:tr w:rsidR="009A0093" w:rsidRPr="00D60728" w:rsidTr="009A0093">
        <w:trPr>
          <w:trHeight w:val="2891"/>
        </w:trPr>
        <w:tc>
          <w:tcPr>
            <w:tcW w:w="1129" w:type="dxa"/>
            <w:vMerge/>
            <w:vAlign w:val="center"/>
          </w:tcPr>
          <w:p w:rsidR="009A0093" w:rsidRPr="00D60728" w:rsidRDefault="009A0093" w:rsidP="00BF7DCC">
            <w:pPr>
              <w:spacing w:line="240" w:lineRule="auto"/>
              <w:jc w:val="left"/>
              <w:rPr>
                <w:rFonts w:ascii="Times New Roman" w:hAnsi="Times New Roman"/>
                <w:sz w:val="20"/>
                <w:szCs w:val="20"/>
              </w:rPr>
            </w:pPr>
          </w:p>
        </w:tc>
        <w:tc>
          <w:tcPr>
            <w:tcW w:w="1418" w:type="dxa"/>
            <w:vAlign w:val="center"/>
          </w:tcPr>
          <w:p w:rsidR="009A0093" w:rsidRPr="00D60728" w:rsidRDefault="009A0093"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9A0093" w:rsidRPr="00D60728" w:rsidRDefault="009A0093" w:rsidP="00BF7DCC">
            <w:pPr>
              <w:spacing w:line="240" w:lineRule="auto"/>
              <w:rPr>
                <w:rFonts w:ascii="Times New Roman" w:hAnsi="Times New Roman"/>
                <w:i/>
                <w:iCs/>
                <w:sz w:val="20"/>
                <w:szCs w:val="20"/>
              </w:rPr>
            </w:pPr>
            <w:r w:rsidRPr="00D60728">
              <w:rPr>
                <w:rFonts w:ascii="Times New Roman" w:hAnsi="Times New Roman"/>
                <w:i/>
                <w:iCs/>
                <w:sz w:val="20"/>
                <w:szCs w:val="20"/>
              </w:rPr>
              <w:t>Krovna mjera za povećanje energetske sigurnosti je integrirano planiranje sigurnosti opskrbe, u kontekstu svih energenata i svih energetskih sustava. Integrirano planiranje mora biti usuglašeno na lokalnoj, regionalnoj i nacionalnoj razini, te u skladu s energetskim planiranjem koje provode energetski subjekti za energetsku infrastrukturu po teritoriju RH. Osim toga, integrirano planiranje je potrebno uskladiti s planiranjem za alternativna goriva i infrastrukturu za alternativna goriva. To će se planiranje provoditi u okviru revizije Integriranog energetskog i klimatskog plana, koju je potrebno izraditi do 23. lipnja 2023. godine te u okviru izrade i revizije narednih planova. U tu je svrhu potrebno nadopuniti postojeći regulatorni okvir.</w:t>
            </w:r>
          </w:p>
        </w:tc>
      </w:tr>
      <w:tr w:rsidR="009A0093" w:rsidRPr="00D60728" w:rsidTr="009A0093">
        <w:trPr>
          <w:trHeight w:val="737"/>
        </w:trPr>
        <w:tc>
          <w:tcPr>
            <w:tcW w:w="1129" w:type="dxa"/>
            <w:vAlign w:val="center"/>
            <w:hideMark/>
          </w:tcPr>
          <w:p w:rsidR="009A0093" w:rsidRPr="00D60728" w:rsidRDefault="009A009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9A0093" w:rsidRPr="00D60728" w:rsidRDefault="009A0093"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9A0093" w:rsidRPr="00D60728" w:rsidRDefault="009A0093"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bl>
    <w:p w:rsidR="00A50A73" w:rsidRPr="00D60728" w:rsidRDefault="00A50A73" w:rsidP="00BF7DCC">
      <w:pPr>
        <w:spacing w:line="240" w:lineRule="auto"/>
        <w:rPr>
          <w:sz w:val="20"/>
          <w:szCs w:val="20"/>
        </w:rPr>
      </w:pPr>
    </w:p>
    <w:p w:rsidR="009A0093" w:rsidRPr="00D60728" w:rsidRDefault="009A0093" w:rsidP="00BF7DCC">
      <w:pPr>
        <w:spacing w:line="240" w:lineRule="auto"/>
      </w:pPr>
    </w:p>
    <w:tbl>
      <w:tblPr>
        <w:tblStyle w:val="TableGrid"/>
        <w:tblW w:w="9175" w:type="dxa"/>
        <w:tblLayout w:type="fixed"/>
        <w:tblLook w:val="04A0" w:firstRow="1" w:lastRow="0" w:firstColumn="1" w:lastColumn="0" w:noHBand="0" w:noVBand="1"/>
      </w:tblPr>
      <w:tblGrid>
        <w:gridCol w:w="1129"/>
        <w:gridCol w:w="1418"/>
        <w:gridCol w:w="6628"/>
      </w:tblGrid>
      <w:tr w:rsidR="00A50A73" w:rsidRPr="00707212" w:rsidTr="00823AE5">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Izgradnja i korištenje spremnika energije</w:t>
            </w:r>
          </w:p>
        </w:tc>
      </w:tr>
      <w:tr w:rsidR="00A50A73" w:rsidRPr="00D60728" w:rsidTr="002200DF">
        <w:trPr>
          <w:trHeight w:val="454"/>
        </w:trPr>
        <w:tc>
          <w:tcPr>
            <w:tcW w:w="2547" w:type="dxa"/>
            <w:gridSpan w:val="2"/>
            <w:shd w:val="clear" w:color="auto" w:fill="auto"/>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shd w:val="clear" w:color="auto" w:fill="auto"/>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MEN-2</w:t>
            </w:r>
            <w:r w:rsidR="008B79F6" w:rsidRPr="00D60728">
              <w:rPr>
                <w:rFonts w:ascii="Times New Roman" w:hAnsi="Times New Roman"/>
                <w:i/>
                <w:iCs/>
                <w:sz w:val="20"/>
                <w:szCs w:val="20"/>
              </w:rPr>
              <w:t>1</w:t>
            </w:r>
          </w:p>
        </w:tc>
      </w:tr>
      <w:tr w:rsidR="00A50A73" w:rsidRPr="00D60728" w:rsidTr="00823AE5">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A50A73" w:rsidRPr="00D60728" w:rsidTr="00823AE5">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A50A73" w:rsidRPr="00D60728" w:rsidTr="00823AE5">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823AE5" w:rsidRPr="00D60728">
              <w:rPr>
                <w:rFonts w:ascii="Times New Roman" w:hAnsi="Times New Roman"/>
                <w:i/>
                <w:iCs/>
                <w:sz w:val="20"/>
                <w:szCs w:val="20"/>
              </w:rPr>
              <w:t>24</w:t>
            </w:r>
            <w:r w:rsidRPr="00D60728">
              <w:rPr>
                <w:rFonts w:ascii="Times New Roman" w:hAnsi="Times New Roman"/>
                <w:i/>
                <w:iCs/>
                <w:sz w:val="20"/>
                <w:szCs w:val="20"/>
              </w:rPr>
              <w:t>.</w:t>
            </w:r>
          </w:p>
        </w:tc>
      </w:tr>
      <w:tr w:rsidR="00A50A73" w:rsidRPr="00D60728" w:rsidTr="00823AE5">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A50A73" w:rsidRPr="00D60728" w:rsidRDefault="00A50A73" w:rsidP="00BF7DCC">
            <w:pPr>
              <w:pStyle w:val="ListParagraph"/>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Povećanje mogućnosti skladištenja energije</w:t>
            </w:r>
          </w:p>
          <w:p w:rsidR="00A50A73" w:rsidRPr="00D60728" w:rsidRDefault="00A50A73" w:rsidP="00BF7DCC">
            <w:pPr>
              <w:pStyle w:val="ListParagraph"/>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Povećanje regulacijskih mogućnosti elektroenergetskog sustava</w:t>
            </w:r>
          </w:p>
        </w:tc>
      </w:tr>
      <w:tr w:rsidR="00823AE5" w:rsidRPr="00D60728" w:rsidTr="00823AE5">
        <w:trPr>
          <w:trHeight w:val="1984"/>
        </w:trPr>
        <w:tc>
          <w:tcPr>
            <w:tcW w:w="1129" w:type="dxa"/>
            <w:vMerge/>
            <w:vAlign w:val="center"/>
          </w:tcPr>
          <w:p w:rsidR="00823AE5" w:rsidRPr="00D60728" w:rsidRDefault="00823AE5" w:rsidP="00BF7DCC">
            <w:pPr>
              <w:spacing w:line="240" w:lineRule="auto"/>
              <w:jc w:val="left"/>
              <w:rPr>
                <w:rFonts w:ascii="Times New Roman" w:hAnsi="Times New Roman"/>
                <w:sz w:val="20"/>
                <w:szCs w:val="20"/>
              </w:rPr>
            </w:pPr>
          </w:p>
        </w:tc>
        <w:tc>
          <w:tcPr>
            <w:tcW w:w="1418" w:type="dxa"/>
            <w:vAlign w:val="center"/>
          </w:tcPr>
          <w:p w:rsidR="00823AE5" w:rsidRPr="00D60728" w:rsidRDefault="00823AE5"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823AE5" w:rsidRPr="00D60728" w:rsidRDefault="00823AE5" w:rsidP="00BF7DCC">
            <w:pPr>
              <w:spacing w:line="240" w:lineRule="auto"/>
              <w:rPr>
                <w:rFonts w:ascii="Times New Roman" w:hAnsi="Times New Roman"/>
                <w:i/>
                <w:iCs/>
                <w:sz w:val="20"/>
                <w:szCs w:val="20"/>
              </w:rPr>
            </w:pPr>
            <w:r w:rsidRPr="00D60728">
              <w:rPr>
                <w:rFonts w:ascii="Times New Roman" w:hAnsi="Times New Roman"/>
                <w:i/>
                <w:iCs/>
                <w:sz w:val="20"/>
                <w:szCs w:val="20"/>
              </w:rPr>
              <w:t>U svrhu povećanja mogućnosti skladištenja energije u sustavu i povećanih regulacijskih mogućnosti elektroenergetskog sustava, planirana je izgradnja dodatnih reverzibilnih elektrana snage 150 MW prije 2030. godine, zatim razvoj spremnika topline kod krajnjih kupaca, razvoj baterijskih spremnika, uvođenje punionica za električna vozila koje omogućuju skladištenje energije, razvoj podzemnih skladišta energije u vidu komprimiranog plina te korištenje drugih inovativnih tehnologija za pohranu energije (financiranih iz EU sredstava).</w:t>
            </w:r>
          </w:p>
        </w:tc>
      </w:tr>
      <w:tr w:rsidR="00823AE5" w:rsidRPr="00D60728" w:rsidTr="00823AE5">
        <w:trPr>
          <w:trHeight w:val="567"/>
        </w:trPr>
        <w:tc>
          <w:tcPr>
            <w:tcW w:w="1129" w:type="dxa"/>
            <w:vAlign w:val="center"/>
            <w:hideMark/>
          </w:tcPr>
          <w:p w:rsidR="00823AE5" w:rsidRPr="00D60728" w:rsidRDefault="00823AE5"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823AE5" w:rsidRPr="00D60728" w:rsidRDefault="00823AE5"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823AE5" w:rsidRPr="00D60728" w:rsidRDefault="00823AE5"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bl>
    <w:p w:rsidR="00A50A73" w:rsidRPr="00D60728" w:rsidRDefault="00A50A73" w:rsidP="00BF7DCC">
      <w:pPr>
        <w:spacing w:line="240" w:lineRule="auto"/>
        <w:rPr>
          <w:sz w:val="20"/>
          <w:szCs w:val="20"/>
        </w:rPr>
      </w:pPr>
    </w:p>
    <w:p w:rsidR="00823AE5" w:rsidRPr="00D60728" w:rsidRDefault="00823AE5" w:rsidP="00BF7DCC">
      <w:pPr>
        <w:spacing w:line="240" w:lineRule="auto"/>
      </w:pPr>
    </w:p>
    <w:tbl>
      <w:tblPr>
        <w:tblStyle w:val="TableGrid"/>
        <w:tblW w:w="9175" w:type="dxa"/>
        <w:tblLayout w:type="fixed"/>
        <w:tblLook w:val="04A0" w:firstRow="1" w:lastRow="0" w:firstColumn="1" w:lastColumn="0" w:noHBand="0" w:noVBand="1"/>
      </w:tblPr>
      <w:tblGrid>
        <w:gridCol w:w="1129"/>
        <w:gridCol w:w="1418"/>
        <w:gridCol w:w="6628"/>
      </w:tblGrid>
      <w:tr w:rsidR="00A50A73" w:rsidRPr="00707212" w:rsidTr="00823AE5">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707212">
            <w:pPr>
              <w:spacing w:line="240" w:lineRule="auto"/>
              <w:ind w:right="57"/>
              <w:jc w:val="left"/>
              <w:rPr>
                <w:rFonts w:ascii="Times New Roman" w:hAnsi="Times New Roman"/>
                <w:b/>
                <w:i/>
                <w:iCs/>
              </w:rPr>
            </w:pPr>
            <w:r w:rsidRPr="00707212">
              <w:rPr>
                <w:rFonts w:ascii="Times New Roman" w:hAnsi="Times New Roman"/>
                <w:b/>
                <w:i/>
                <w:iCs/>
              </w:rPr>
              <w:t>Razvoj i održavanje sustava centralne proizvodnje toplinske energije</w:t>
            </w:r>
          </w:p>
        </w:tc>
      </w:tr>
      <w:tr w:rsidR="00A50A73" w:rsidRPr="00D60728" w:rsidTr="003A44E2">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shd w:val="clear" w:color="auto" w:fill="auto"/>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MEN-2</w:t>
            </w:r>
            <w:r w:rsidR="008B79F6" w:rsidRPr="00D60728">
              <w:rPr>
                <w:rFonts w:ascii="Times New Roman" w:hAnsi="Times New Roman"/>
                <w:i/>
                <w:iCs/>
                <w:sz w:val="20"/>
                <w:szCs w:val="20"/>
              </w:rPr>
              <w:t>2</w:t>
            </w:r>
          </w:p>
        </w:tc>
      </w:tr>
      <w:tr w:rsidR="00A50A73" w:rsidRPr="00D60728" w:rsidTr="003A44E2">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shd w:val="clear" w:color="auto" w:fill="auto"/>
            <w:vAlign w:val="center"/>
          </w:tcPr>
          <w:p w:rsidR="00A50A73" w:rsidRPr="00D60728" w:rsidRDefault="002B389C" w:rsidP="00BF7DCC">
            <w:pPr>
              <w:spacing w:line="240" w:lineRule="auto"/>
              <w:rPr>
                <w:rFonts w:ascii="Times New Roman" w:hAnsi="Times New Roman"/>
                <w:i/>
                <w:iCs/>
                <w:sz w:val="20"/>
                <w:szCs w:val="20"/>
              </w:rPr>
            </w:pPr>
            <w:r w:rsidRPr="00D60728">
              <w:rPr>
                <w:rFonts w:ascii="Times New Roman" w:hAnsi="Times New Roman"/>
                <w:i/>
                <w:iCs/>
                <w:sz w:val="20"/>
                <w:szCs w:val="20"/>
              </w:rPr>
              <w:t>Financijska</w:t>
            </w:r>
          </w:p>
        </w:tc>
      </w:tr>
      <w:tr w:rsidR="002B389C" w:rsidRPr="00D60728" w:rsidTr="003A44E2">
        <w:trPr>
          <w:trHeight w:val="454"/>
        </w:trPr>
        <w:tc>
          <w:tcPr>
            <w:tcW w:w="1129" w:type="dxa"/>
            <w:vMerge/>
            <w:vAlign w:val="center"/>
            <w:hideMark/>
          </w:tcPr>
          <w:p w:rsidR="002B389C" w:rsidRPr="00D60728" w:rsidRDefault="002B389C" w:rsidP="00BF7DCC">
            <w:pPr>
              <w:spacing w:line="240" w:lineRule="auto"/>
              <w:jc w:val="left"/>
              <w:rPr>
                <w:rFonts w:ascii="Times New Roman" w:hAnsi="Times New Roman"/>
                <w:sz w:val="20"/>
                <w:szCs w:val="20"/>
              </w:rPr>
            </w:pPr>
          </w:p>
        </w:tc>
        <w:tc>
          <w:tcPr>
            <w:tcW w:w="1418" w:type="dxa"/>
            <w:vMerge w:val="restart"/>
            <w:vAlign w:val="center"/>
            <w:hideMark/>
          </w:tcPr>
          <w:p w:rsidR="002B389C" w:rsidRPr="00D60728" w:rsidRDefault="002B389C"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shd w:val="clear" w:color="auto" w:fill="auto"/>
            <w:vAlign w:val="center"/>
            <w:hideMark/>
          </w:tcPr>
          <w:p w:rsidR="002B389C" w:rsidRPr="00D60728" w:rsidRDefault="002B389C"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2B389C" w:rsidRPr="00D60728" w:rsidTr="003A44E2">
        <w:trPr>
          <w:trHeight w:val="454"/>
        </w:trPr>
        <w:tc>
          <w:tcPr>
            <w:tcW w:w="1129" w:type="dxa"/>
            <w:vMerge/>
            <w:vAlign w:val="center"/>
            <w:hideMark/>
          </w:tcPr>
          <w:p w:rsidR="002B389C" w:rsidRPr="00D60728" w:rsidRDefault="002B389C" w:rsidP="00BF7DCC">
            <w:pPr>
              <w:spacing w:line="240" w:lineRule="auto"/>
              <w:jc w:val="left"/>
              <w:rPr>
                <w:rFonts w:ascii="Times New Roman" w:hAnsi="Times New Roman"/>
                <w:sz w:val="20"/>
                <w:szCs w:val="20"/>
              </w:rPr>
            </w:pPr>
          </w:p>
        </w:tc>
        <w:tc>
          <w:tcPr>
            <w:tcW w:w="1418" w:type="dxa"/>
            <w:vMerge/>
            <w:vAlign w:val="center"/>
            <w:hideMark/>
          </w:tcPr>
          <w:p w:rsidR="002B389C" w:rsidRPr="00D60728" w:rsidRDefault="002B389C" w:rsidP="00BF7DCC">
            <w:pPr>
              <w:spacing w:line="240" w:lineRule="auto"/>
              <w:jc w:val="left"/>
              <w:rPr>
                <w:rFonts w:ascii="Times New Roman" w:hAnsi="Times New Roman"/>
                <w:sz w:val="20"/>
                <w:szCs w:val="20"/>
              </w:rPr>
            </w:pPr>
          </w:p>
        </w:tc>
        <w:tc>
          <w:tcPr>
            <w:tcW w:w="6628" w:type="dxa"/>
            <w:shd w:val="clear" w:color="auto" w:fill="auto"/>
            <w:vAlign w:val="center"/>
            <w:hideMark/>
          </w:tcPr>
          <w:p w:rsidR="002B389C" w:rsidRPr="00D60728" w:rsidRDefault="002B389C"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2B389C" w:rsidRPr="00D60728" w:rsidTr="003A44E2">
        <w:trPr>
          <w:trHeight w:val="2608"/>
        </w:trPr>
        <w:tc>
          <w:tcPr>
            <w:tcW w:w="1129" w:type="dxa"/>
            <w:vMerge/>
            <w:vAlign w:val="center"/>
          </w:tcPr>
          <w:p w:rsidR="002B389C" w:rsidRPr="00D60728" w:rsidRDefault="002B389C" w:rsidP="00BF7DCC">
            <w:pPr>
              <w:spacing w:line="240" w:lineRule="auto"/>
              <w:jc w:val="left"/>
              <w:rPr>
                <w:rFonts w:ascii="Times New Roman" w:hAnsi="Times New Roman"/>
                <w:sz w:val="20"/>
                <w:szCs w:val="20"/>
              </w:rPr>
            </w:pPr>
          </w:p>
        </w:tc>
        <w:tc>
          <w:tcPr>
            <w:tcW w:w="1418" w:type="dxa"/>
            <w:vAlign w:val="center"/>
          </w:tcPr>
          <w:p w:rsidR="002B389C" w:rsidRPr="00D60728" w:rsidRDefault="002B389C"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2B389C" w:rsidRPr="00D60728" w:rsidRDefault="002B389C" w:rsidP="00BF7DCC">
            <w:pPr>
              <w:spacing w:line="240" w:lineRule="auto"/>
              <w:rPr>
                <w:rFonts w:ascii="Times New Roman" w:hAnsi="Times New Roman"/>
                <w:i/>
                <w:iCs/>
                <w:sz w:val="20"/>
                <w:szCs w:val="20"/>
              </w:rPr>
            </w:pPr>
            <w:r w:rsidRPr="00D60728">
              <w:rPr>
                <w:rFonts w:ascii="Times New Roman" w:hAnsi="Times New Roman"/>
                <w:i/>
                <w:iCs/>
                <w:sz w:val="20"/>
                <w:szCs w:val="20"/>
              </w:rPr>
              <w:t>Centralizirani toplinski sustavi određeni su kao jedan od prioriteta energetske politike RH, Najznačajniji potencijal za razvoj i unaprjeđenje postojećih centraliziranih toplinskih sustava je prvenstveno u povećanju energetske učinkovitosti proizvodnih jedinica, infrastrukture i opreme kod krajnjih korisnika te povećanjem pouzdanosti i sigurnosti opskrbe. Stoga se ovom mjerom previđa održavanje i unaprjeđenje postojećih CTS sustava, zaustavljanje trenda isključivanja korisnika sa sustava CTS-a, uvođenje spremnika topline na električnu energiju te korištenje OIE za CTS i zamjena postojeće proizvodnje CTS-a obnovljivim izvorima (npr. biogorivo), korištenje dizalica topline.</w:t>
            </w:r>
          </w:p>
        </w:tc>
      </w:tr>
      <w:tr w:rsidR="002B389C" w:rsidRPr="00D60728" w:rsidTr="002B389C">
        <w:trPr>
          <w:trHeight w:val="454"/>
        </w:trPr>
        <w:tc>
          <w:tcPr>
            <w:tcW w:w="1129" w:type="dxa"/>
            <w:vAlign w:val="center"/>
            <w:hideMark/>
          </w:tcPr>
          <w:p w:rsidR="002B389C" w:rsidRPr="00D60728" w:rsidRDefault="002B389C"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2B389C" w:rsidRPr="00D60728" w:rsidRDefault="002B389C"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2B389C" w:rsidRPr="00D60728" w:rsidRDefault="002B389C"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bl>
    <w:p w:rsidR="00A50A73" w:rsidRPr="00D60728" w:rsidRDefault="00A50A73" w:rsidP="00BF7DCC">
      <w:pPr>
        <w:spacing w:line="240" w:lineRule="auto"/>
        <w:rPr>
          <w:sz w:val="20"/>
          <w:szCs w:val="20"/>
        </w:rPr>
      </w:pPr>
    </w:p>
    <w:p w:rsidR="003A44E2" w:rsidRPr="00D60728" w:rsidRDefault="003A44E2" w:rsidP="00BF7DCC">
      <w:pPr>
        <w:spacing w:line="240" w:lineRule="auto"/>
      </w:pPr>
    </w:p>
    <w:tbl>
      <w:tblPr>
        <w:tblStyle w:val="TableGrid"/>
        <w:tblW w:w="9175" w:type="dxa"/>
        <w:tblLayout w:type="fixed"/>
        <w:tblLook w:val="04A0" w:firstRow="1" w:lastRow="0" w:firstColumn="1" w:lastColumn="0" w:noHBand="0" w:noVBand="1"/>
      </w:tblPr>
      <w:tblGrid>
        <w:gridCol w:w="1129"/>
        <w:gridCol w:w="1418"/>
        <w:gridCol w:w="6628"/>
      </w:tblGrid>
      <w:tr w:rsidR="00A50A73" w:rsidRPr="00707212" w:rsidTr="003A44E2">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Izgradnja terminala za UPP</w:t>
            </w:r>
          </w:p>
        </w:tc>
      </w:tr>
      <w:tr w:rsidR="00A50A73" w:rsidRPr="00D60728" w:rsidTr="003A44E2">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shd w:val="clear" w:color="auto" w:fill="auto"/>
            <w:vAlign w:val="center"/>
          </w:tcPr>
          <w:p w:rsidR="00A50A73" w:rsidRPr="00D60728" w:rsidRDefault="00F811D1"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MEN-23</w:t>
            </w:r>
          </w:p>
        </w:tc>
      </w:tr>
      <w:tr w:rsidR="00F811D1" w:rsidRPr="00D60728" w:rsidTr="003A44E2">
        <w:trPr>
          <w:trHeight w:val="454"/>
        </w:trPr>
        <w:tc>
          <w:tcPr>
            <w:tcW w:w="1129" w:type="dxa"/>
            <w:vMerge w:val="restart"/>
            <w:vAlign w:val="center"/>
            <w:hideMark/>
          </w:tcPr>
          <w:p w:rsidR="00F811D1" w:rsidRPr="00D60728" w:rsidRDefault="00F811D1"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F811D1" w:rsidRPr="00D60728" w:rsidRDefault="00F811D1"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shd w:val="clear" w:color="auto" w:fill="auto"/>
            <w:vAlign w:val="center"/>
          </w:tcPr>
          <w:p w:rsidR="00F811D1" w:rsidRPr="00D60728" w:rsidRDefault="00F811D1" w:rsidP="00BF7DCC">
            <w:pPr>
              <w:spacing w:line="240" w:lineRule="auto"/>
              <w:rPr>
                <w:rFonts w:ascii="Times New Roman" w:hAnsi="Times New Roman"/>
                <w:i/>
                <w:iCs/>
                <w:sz w:val="20"/>
                <w:szCs w:val="20"/>
              </w:rPr>
            </w:pPr>
            <w:r w:rsidRPr="00D60728">
              <w:rPr>
                <w:rFonts w:ascii="Times New Roman" w:hAnsi="Times New Roman"/>
                <w:i/>
                <w:iCs/>
                <w:sz w:val="20"/>
                <w:szCs w:val="20"/>
              </w:rPr>
              <w:t>Financijska</w:t>
            </w:r>
          </w:p>
        </w:tc>
      </w:tr>
      <w:tr w:rsidR="00F811D1" w:rsidRPr="00D60728" w:rsidTr="003A44E2">
        <w:trPr>
          <w:trHeight w:val="454"/>
        </w:trPr>
        <w:tc>
          <w:tcPr>
            <w:tcW w:w="1129" w:type="dxa"/>
            <w:vMerge/>
            <w:vAlign w:val="center"/>
            <w:hideMark/>
          </w:tcPr>
          <w:p w:rsidR="00F811D1" w:rsidRPr="00D60728" w:rsidRDefault="00F811D1" w:rsidP="00BF7DCC">
            <w:pPr>
              <w:spacing w:line="240" w:lineRule="auto"/>
              <w:jc w:val="left"/>
              <w:rPr>
                <w:rFonts w:ascii="Times New Roman" w:hAnsi="Times New Roman"/>
                <w:sz w:val="20"/>
                <w:szCs w:val="20"/>
              </w:rPr>
            </w:pPr>
          </w:p>
        </w:tc>
        <w:tc>
          <w:tcPr>
            <w:tcW w:w="1418" w:type="dxa"/>
            <w:vMerge w:val="restart"/>
            <w:vAlign w:val="center"/>
            <w:hideMark/>
          </w:tcPr>
          <w:p w:rsidR="00F811D1" w:rsidRPr="00D60728" w:rsidRDefault="00F811D1"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shd w:val="clear" w:color="auto" w:fill="auto"/>
            <w:vAlign w:val="center"/>
            <w:hideMark/>
          </w:tcPr>
          <w:p w:rsidR="00F811D1" w:rsidRPr="00D60728" w:rsidRDefault="00F811D1"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F811D1" w:rsidRPr="00D60728" w:rsidTr="003A44E2">
        <w:trPr>
          <w:trHeight w:val="454"/>
        </w:trPr>
        <w:tc>
          <w:tcPr>
            <w:tcW w:w="1129" w:type="dxa"/>
            <w:vMerge/>
            <w:vAlign w:val="center"/>
            <w:hideMark/>
          </w:tcPr>
          <w:p w:rsidR="00F811D1" w:rsidRPr="00D60728" w:rsidRDefault="00F811D1" w:rsidP="00BF7DCC">
            <w:pPr>
              <w:spacing w:line="240" w:lineRule="auto"/>
              <w:jc w:val="left"/>
              <w:rPr>
                <w:rFonts w:ascii="Times New Roman" w:hAnsi="Times New Roman"/>
                <w:sz w:val="20"/>
                <w:szCs w:val="20"/>
              </w:rPr>
            </w:pPr>
          </w:p>
        </w:tc>
        <w:tc>
          <w:tcPr>
            <w:tcW w:w="1418" w:type="dxa"/>
            <w:vMerge/>
            <w:vAlign w:val="center"/>
            <w:hideMark/>
          </w:tcPr>
          <w:p w:rsidR="00F811D1" w:rsidRPr="00D60728" w:rsidRDefault="00F811D1" w:rsidP="00BF7DCC">
            <w:pPr>
              <w:spacing w:line="240" w:lineRule="auto"/>
              <w:jc w:val="left"/>
              <w:rPr>
                <w:rFonts w:ascii="Times New Roman" w:hAnsi="Times New Roman"/>
                <w:sz w:val="20"/>
                <w:szCs w:val="20"/>
              </w:rPr>
            </w:pPr>
          </w:p>
        </w:tc>
        <w:tc>
          <w:tcPr>
            <w:tcW w:w="6628" w:type="dxa"/>
            <w:shd w:val="clear" w:color="auto" w:fill="auto"/>
            <w:vAlign w:val="center"/>
            <w:hideMark/>
          </w:tcPr>
          <w:p w:rsidR="00F811D1" w:rsidRPr="00D60728" w:rsidRDefault="00F811D1"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A50A73" w:rsidRPr="00D60728" w:rsidTr="003A44E2">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auto"/>
            <w:vAlign w:val="center"/>
          </w:tcPr>
          <w:p w:rsidR="00A50A73" w:rsidRPr="00D60728" w:rsidRDefault="00F811D1"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Sigurnost opskrbe energijom</w:t>
            </w:r>
          </w:p>
          <w:p w:rsidR="00DC079C" w:rsidRPr="00D60728" w:rsidRDefault="00DC079C"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Smanjenje emisija stakleničkih plinova</w:t>
            </w:r>
          </w:p>
        </w:tc>
      </w:tr>
      <w:tr w:rsidR="00DC079C" w:rsidRPr="00D60728" w:rsidTr="003A44E2">
        <w:trPr>
          <w:trHeight w:val="2948"/>
        </w:trPr>
        <w:tc>
          <w:tcPr>
            <w:tcW w:w="1129" w:type="dxa"/>
            <w:vMerge/>
            <w:vAlign w:val="center"/>
          </w:tcPr>
          <w:p w:rsidR="00DC079C" w:rsidRPr="00D60728" w:rsidRDefault="00DC079C" w:rsidP="00BF7DCC">
            <w:pPr>
              <w:spacing w:line="240" w:lineRule="auto"/>
              <w:jc w:val="left"/>
              <w:rPr>
                <w:rFonts w:ascii="Times New Roman" w:hAnsi="Times New Roman"/>
                <w:sz w:val="20"/>
                <w:szCs w:val="20"/>
              </w:rPr>
            </w:pPr>
          </w:p>
        </w:tc>
        <w:tc>
          <w:tcPr>
            <w:tcW w:w="1418" w:type="dxa"/>
            <w:vAlign w:val="center"/>
          </w:tcPr>
          <w:p w:rsidR="00DC079C" w:rsidRPr="00D60728" w:rsidRDefault="00DC079C"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DC079C" w:rsidRPr="00D60728" w:rsidRDefault="00DC079C"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Veličina terminala za UPP ovisi o zainteresiranosti tržišta te je u prvoj fazi planirana izgradnja FSRU broda (brod za skladištenje i uplinjavanje plina) čija će maksimalna godišnja isporuka prirodnog plina iznositi do 2,6 milijarde kubičnih metara. Planirani maksimalni kapacitet isporuka prirodnog plina iz terminala, a posredno i njegova veličina i kapacitet uvjetovan je maksimalnim kapacitetom plinovodnog sustava koji bi uz izgradnju prvog dijela evakuacijskog plinovodnog sustava; plinovoda Omišalj-Zlobin, iznosio 7,2 mil.m3/dan. Izgradnjom nastavka evakuacijskog plinovoda Zlobin-Kozarac ukupni kapacitet terminala za UPP porastao bi na 12 mil.m3/dan, a dodatnom izgradnjom plinovoda Kozarac-Slobodnica kapacitet bi porastao na 19 mil.m3/dan. </w:t>
            </w:r>
          </w:p>
        </w:tc>
      </w:tr>
      <w:tr w:rsidR="00B527DE" w:rsidRPr="00D60728" w:rsidTr="00B527DE">
        <w:trPr>
          <w:trHeight w:val="624"/>
        </w:trPr>
        <w:tc>
          <w:tcPr>
            <w:tcW w:w="1129" w:type="dxa"/>
            <w:vMerge w:val="restart"/>
            <w:vAlign w:val="center"/>
            <w:hideMark/>
          </w:tcPr>
          <w:p w:rsidR="00B527DE" w:rsidRPr="00D60728" w:rsidRDefault="00B527DE"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B527DE" w:rsidRPr="00D60728" w:rsidRDefault="00B527DE"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B527DE" w:rsidRPr="00D60728" w:rsidRDefault="00B527DE" w:rsidP="00BF7DCC">
            <w:pPr>
              <w:spacing w:line="240" w:lineRule="auto"/>
              <w:rPr>
                <w:rFonts w:ascii="Times New Roman" w:hAnsi="Times New Roman"/>
                <w:i/>
                <w:iCs/>
                <w:sz w:val="20"/>
                <w:szCs w:val="20"/>
              </w:rPr>
            </w:pPr>
            <w:r w:rsidRPr="00D60728">
              <w:rPr>
                <w:rFonts w:ascii="Times New Roman" w:hAnsi="Times New Roman"/>
                <w:i/>
                <w:iCs/>
                <w:sz w:val="20"/>
                <w:szCs w:val="20"/>
              </w:rPr>
              <w:t>LNG Hrvatska d.o.o.</w:t>
            </w:r>
          </w:p>
          <w:p w:rsidR="00B527DE" w:rsidRPr="00D60728" w:rsidRDefault="00B527DE"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r w:rsidR="00A50A73" w:rsidRPr="00D60728" w:rsidTr="003A44E2">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A50A73" w:rsidRPr="00D60728" w:rsidRDefault="00A50A7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w:t>
            </w:r>
            <w:r w:rsidR="00DC079C" w:rsidRPr="00D60728">
              <w:rPr>
                <w:rFonts w:ascii="Times New Roman" w:hAnsi="Times New Roman"/>
                <w:i/>
                <w:iCs/>
                <w:sz w:val="20"/>
                <w:szCs w:val="20"/>
              </w:rPr>
              <w:t>1,7 milijardi kuna</w:t>
            </w:r>
          </w:p>
        </w:tc>
      </w:tr>
    </w:tbl>
    <w:p w:rsidR="00A50A73" w:rsidRPr="00D60728" w:rsidRDefault="00A50A73" w:rsidP="00BF7DCC">
      <w:pPr>
        <w:spacing w:line="240" w:lineRule="auto"/>
        <w:rPr>
          <w:sz w:val="20"/>
          <w:szCs w:val="20"/>
        </w:rPr>
      </w:pPr>
    </w:p>
    <w:p w:rsidR="00A50A73" w:rsidRPr="00D60728" w:rsidRDefault="00A50A73" w:rsidP="00BF7DCC">
      <w:pPr>
        <w:pStyle w:val="Caption"/>
        <w:keepNext/>
        <w:spacing w:after="0" w:line="240" w:lineRule="auto"/>
        <w:rPr>
          <w:sz w:val="20"/>
          <w:szCs w:val="20"/>
        </w:rPr>
      </w:pPr>
    </w:p>
    <w:p w:rsidR="00F811D1" w:rsidRPr="00D60728" w:rsidRDefault="00F811D1" w:rsidP="00BF7DCC">
      <w:pPr>
        <w:spacing w:line="240" w:lineRule="auto"/>
        <w:rPr>
          <w:sz w:val="20"/>
          <w:szCs w:val="20"/>
        </w:rPr>
      </w:pPr>
      <w:r w:rsidRPr="00D60728">
        <w:rPr>
          <w:sz w:val="20"/>
          <w:szCs w:val="20"/>
        </w:rPr>
        <w:br w:type="page"/>
      </w:r>
    </w:p>
    <w:tbl>
      <w:tblPr>
        <w:tblStyle w:val="TableGrid"/>
        <w:tblW w:w="9175" w:type="dxa"/>
        <w:tblLayout w:type="fixed"/>
        <w:tblLook w:val="04A0" w:firstRow="1" w:lastRow="0" w:firstColumn="1" w:lastColumn="0" w:noHBand="0" w:noVBand="1"/>
      </w:tblPr>
      <w:tblGrid>
        <w:gridCol w:w="1129"/>
        <w:gridCol w:w="1418"/>
        <w:gridCol w:w="6628"/>
      </w:tblGrid>
      <w:tr w:rsidR="00A50A73" w:rsidRPr="00707212" w:rsidTr="0064574C">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Modernizacija rafinerija</w:t>
            </w:r>
          </w:p>
        </w:tc>
      </w:tr>
      <w:tr w:rsidR="00A50A73" w:rsidRPr="00D60728" w:rsidTr="0064574C">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shd w:val="clear" w:color="auto" w:fill="auto"/>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MEN-24</w:t>
            </w:r>
          </w:p>
        </w:tc>
      </w:tr>
      <w:tr w:rsidR="00EA1C18" w:rsidRPr="00D60728" w:rsidTr="0064574C">
        <w:trPr>
          <w:trHeight w:val="454"/>
        </w:trPr>
        <w:tc>
          <w:tcPr>
            <w:tcW w:w="1129" w:type="dxa"/>
            <w:vMerge w:val="restart"/>
            <w:vAlign w:val="center"/>
            <w:hideMark/>
          </w:tcPr>
          <w:p w:rsidR="00EA1C18" w:rsidRPr="00D60728" w:rsidRDefault="00EA1C1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EA1C18" w:rsidRPr="00D60728" w:rsidRDefault="00EA1C1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shd w:val="clear" w:color="auto" w:fill="auto"/>
            <w:vAlign w:val="center"/>
          </w:tcPr>
          <w:p w:rsidR="00EA1C18" w:rsidRPr="00D60728" w:rsidRDefault="00EA1C18" w:rsidP="00BF7DCC">
            <w:pPr>
              <w:spacing w:line="240" w:lineRule="auto"/>
              <w:rPr>
                <w:rFonts w:ascii="Times New Roman" w:hAnsi="Times New Roman"/>
                <w:i/>
                <w:iCs/>
                <w:sz w:val="20"/>
                <w:szCs w:val="20"/>
              </w:rPr>
            </w:pPr>
            <w:r w:rsidRPr="00D60728">
              <w:rPr>
                <w:rFonts w:ascii="Times New Roman" w:hAnsi="Times New Roman"/>
                <w:i/>
                <w:iCs/>
                <w:sz w:val="20"/>
                <w:szCs w:val="20"/>
              </w:rPr>
              <w:t>Financijska</w:t>
            </w:r>
          </w:p>
        </w:tc>
      </w:tr>
      <w:tr w:rsidR="00EA1C18" w:rsidRPr="00D60728" w:rsidTr="0064574C">
        <w:trPr>
          <w:trHeight w:val="454"/>
        </w:trPr>
        <w:tc>
          <w:tcPr>
            <w:tcW w:w="1129" w:type="dxa"/>
            <w:vMerge/>
            <w:vAlign w:val="center"/>
            <w:hideMark/>
          </w:tcPr>
          <w:p w:rsidR="00EA1C18" w:rsidRPr="00D60728" w:rsidRDefault="00EA1C18" w:rsidP="00BF7DCC">
            <w:pPr>
              <w:spacing w:line="240" w:lineRule="auto"/>
              <w:jc w:val="left"/>
              <w:rPr>
                <w:rFonts w:ascii="Times New Roman" w:hAnsi="Times New Roman"/>
                <w:sz w:val="20"/>
                <w:szCs w:val="20"/>
              </w:rPr>
            </w:pPr>
          </w:p>
        </w:tc>
        <w:tc>
          <w:tcPr>
            <w:tcW w:w="1418" w:type="dxa"/>
            <w:vMerge w:val="restart"/>
            <w:vAlign w:val="center"/>
            <w:hideMark/>
          </w:tcPr>
          <w:p w:rsidR="00EA1C18" w:rsidRPr="00D60728" w:rsidRDefault="00EA1C1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shd w:val="clear" w:color="auto" w:fill="auto"/>
            <w:vAlign w:val="center"/>
            <w:hideMark/>
          </w:tcPr>
          <w:p w:rsidR="00EA1C18" w:rsidRPr="00D60728" w:rsidRDefault="00EA1C1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F811D1" w:rsidRPr="00D60728">
              <w:rPr>
                <w:rFonts w:ascii="Times New Roman" w:hAnsi="Times New Roman"/>
                <w:i/>
                <w:iCs/>
                <w:sz w:val="20"/>
                <w:szCs w:val="20"/>
              </w:rPr>
              <w:t>1</w:t>
            </w:r>
            <w:r w:rsidRPr="00D60728">
              <w:rPr>
                <w:rFonts w:ascii="Times New Roman" w:hAnsi="Times New Roman"/>
                <w:i/>
                <w:iCs/>
                <w:sz w:val="20"/>
                <w:szCs w:val="20"/>
              </w:rPr>
              <w:t>.</w:t>
            </w:r>
          </w:p>
        </w:tc>
      </w:tr>
      <w:tr w:rsidR="00EA1C18" w:rsidRPr="00D60728" w:rsidTr="0064574C">
        <w:trPr>
          <w:trHeight w:val="454"/>
        </w:trPr>
        <w:tc>
          <w:tcPr>
            <w:tcW w:w="1129" w:type="dxa"/>
            <w:vMerge/>
            <w:vAlign w:val="center"/>
            <w:hideMark/>
          </w:tcPr>
          <w:p w:rsidR="00EA1C18" w:rsidRPr="00D60728" w:rsidRDefault="00EA1C18" w:rsidP="00BF7DCC">
            <w:pPr>
              <w:spacing w:line="240" w:lineRule="auto"/>
              <w:jc w:val="left"/>
              <w:rPr>
                <w:rFonts w:ascii="Times New Roman" w:hAnsi="Times New Roman"/>
                <w:sz w:val="20"/>
                <w:szCs w:val="20"/>
              </w:rPr>
            </w:pPr>
          </w:p>
        </w:tc>
        <w:tc>
          <w:tcPr>
            <w:tcW w:w="1418" w:type="dxa"/>
            <w:vMerge/>
            <w:vAlign w:val="center"/>
            <w:hideMark/>
          </w:tcPr>
          <w:p w:rsidR="00EA1C18" w:rsidRPr="00D60728" w:rsidRDefault="00EA1C18" w:rsidP="00BF7DCC">
            <w:pPr>
              <w:spacing w:line="240" w:lineRule="auto"/>
              <w:jc w:val="left"/>
              <w:rPr>
                <w:rFonts w:ascii="Times New Roman" w:hAnsi="Times New Roman"/>
                <w:sz w:val="20"/>
                <w:szCs w:val="20"/>
              </w:rPr>
            </w:pPr>
          </w:p>
        </w:tc>
        <w:tc>
          <w:tcPr>
            <w:tcW w:w="6628" w:type="dxa"/>
            <w:shd w:val="clear" w:color="auto" w:fill="auto"/>
            <w:vAlign w:val="center"/>
            <w:hideMark/>
          </w:tcPr>
          <w:p w:rsidR="00EA1C18" w:rsidRPr="00D60728" w:rsidRDefault="00EA1C18"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EA1C18" w:rsidRPr="00D60728" w:rsidTr="0064574C">
        <w:trPr>
          <w:trHeight w:val="737"/>
        </w:trPr>
        <w:tc>
          <w:tcPr>
            <w:tcW w:w="1129" w:type="dxa"/>
            <w:vMerge/>
            <w:vAlign w:val="center"/>
            <w:hideMark/>
          </w:tcPr>
          <w:p w:rsidR="00EA1C18" w:rsidRPr="00D60728" w:rsidRDefault="00EA1C18" w:rsidP="00BF7DCC">
            <w:pPr>
              <w:spacing w:line="240" w:lineRule="auto"/>
              <w:jc w:val="left"/>
              <w:rPr>
                <w:rFonts w:ascii="Times New Roman" w:hAnsi="Times New Roman"/>
                <w:sz w:val="20"/>
                <w:szCs w:val="20"/>
              </w:rPr>
            </w:pPr>
          </w:p>
        </w:tc>
        <w:tc>
          <w:tcPr>
            <w:tcW w:w="1418" w:type="dxa"/>
            <w:vAlign w:val="center"/>
            <w:hideMark/>
          </w:tcPr>
          <w:p w:rsidR="00EA1C18" w:rsidRPr="00D60728" w:rsidRDefault="00EA1C18"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vAlign w:val="center"/>
          </w:tcPr>
          <w:p w:rsidR="00EA1C18" w:rsidRPr="00D60728" w:rsidRDefault="00EA1C1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Provedba investicija u modernizaciju i unaprjeđenje proizvodnje kako bi se održala konkurentnost rafinerija i smanjile fugitivne emisije iz rafinerija.</w:t>
            </w:r>
          </w:p>
        </w:tc>
      </w:tr>
      <w:tr w:rsidR="00EA1C18" w:rsidRPr="00D60728" w:rsidTr="0064574C">
        <w:trPr>
          <w:trHeight w:val="680"/>
        </w:trPr>
        <w:tc>
          <w:tcPr>
            <w:tcW w:w="1129" w:type="dxa"/>
            <w:vAlign w:val="center"/>
            <w:hideMark/>
          </w:tcPr>
          <w:p w:rsidR="00EA1C18" w:rsidRPr="00D60728" w:rsidRDefault="00EA1C1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EA1C18" w:rsidRPr="00D60728" w:rsidRDefault="00EA1C18"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EA1C18" w:rsidRPr="00D60728" w:rsidRDefault="00EA1C18" w:rsidP="00BF7DCC">
            <w:pPr>
              <w:spacing w:line="240" w:lineRule="auto"/>
              <w:rPr>
                <w:rFonts w:ascii="Times New Roman" w:hAnsi="Times New Roman"/>
                <w:i/>
                <w:iCs/>
                <w:sz w:val="20"/>
                <w:szCs w:val="20"/>
              </w:rPr>
            </w:pPr>
            <w:r w:rsidRPr="00D60728">
              <w:rPr>
                <w:rFonts w:ascii="Times New Roman" w:hAnsi="Times New Roman"/>
                <w:i/>
                <w:iCs/>
                <w:sz w:val="20"/>
                <w:szCs w:val="20"/>
              </w:rPr>
              <w:t>INA d.d.</w:t>
            </w:r>
          </w:p>
          <w:p w:rsidR="00EA1C18" w:rsidRPr="00D60728" w:rsidRDefault="00EA1C18"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bl>
    <w:p w:rsidR="00A50A73" w:rsidRPr="00D60728" w:rsidRDefault="00A50A73" w:rsidP="00BF7DCC">
      <w:pPr>
        <w:spacing w:line="240" w:lineRule="auto"/>
        <w:rPr>
          <w:sz w:val="20"/>
          <w:szCs w:val="20"/>
        </w:rPr>
      </w:pPr>
    </w:p>
    <w:p w:rsidR="00F811D1" w:rsidRPr="00D60728" w:rsidRDefault="00F811D1"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A50A73" w:rsidRPr="00707212" w:rsidTr="0064574C">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Mjere povećanja energetske učinkovitosti unapređenjem procesa i procesnih jedinica</w:t>
            </w:r>
          </w:p>
        </w:tc>
      </w:tr>
      <w:tr w:rsidR="00A50A73" w:rsidRPr="00D60728" w:rsidTr="0064574C">
        <w:trPr>
          <w:trHeight w:val="454"/>
        </w:trPr>
        <w:tc>
          <w:tcPr>
            <w:tcW w:w="2547" w:type="dxa"/>
            <w:gridSpan w:val="2"/>
            <w:shd w:val="clear" w:color="auto" w:fill="auto"/>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shd w:val="clear" w:color="auto" w:fill="auto"/>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 xml:space="preserve">MEN-25 </w:t>
            </w:r>
          </w:p>
        </w:tc>
      </w:tr>
      <w:tr w:rsidR="00A50A73" w:rsidRPr="00D60728" w:rsidTr="0064574C">
        <w:trPr>
          <w:trHeight w:val="454"/>
        </w:trPr>
        <w:tc>
          <w:tcPr>
            <w:tcW w:w="1129" w:type="dxa"/>
            <w:vMerge w:val="restart"/>
            <w:shd w:val="clear" w:color="auto" w:fill="auto"/>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shd w:val="clear" w:color="auto" w:fill="auto"/>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shd w:val="clear" w:color="auto" w:fill="auto"/>
            <w:vAlign w:val="center"/>
          </w:tcPr>
          <w:p w:rsidR="00A50A73" w:rsidRPr="00D60728" w:rsidRDefault="00B619A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w:t>
            </w:r>
          </w:p>
        </w:tc>
      </w:tr>
      <w:tr w:rsidR="00A50A73" w:rsidRPr="00D60728" w:rsidTr="0064574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shd w:val="clear" w:color="auto" w:fill="auto"/>
            <w:vAlign w:val="center"/>
            <w:hideMark/>
          </w:tcPr>
          <w:p w:rsidR="00A50A73" w:rsidRPr="00D60728" w:rsidRDefault="00B619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A50A73" w:rsidRPr="00D60728" w:rsidTr="0064574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shd w:val="clear" w:color="auto" w:fill="auto"/>
            <w:vAlign w:val="center"/>
            <w:hideMark/>
          </w:tcPr>
          <w:p w:rsidR="00A50A73" w:rsidRPr="00D60728" w:rsidRDefault="00B619A3"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A50A73" w:rsidRPr="00D60728" w:rsidTr="0064574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Povećanje energetske učinkovitosti</w:t>
            </w:r>
          </w:p>
          <w:p w:rsidR="003E0973" w:rsidRPr="00D60728" w:rsidRDefault="003E09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Smanjenje fugitivnih emisija</w:t>
            </w:r>
          </w:p>
        </w:tc>
      </w:tr>
      <w:tr w:rsidR="00B619A3" w:rsidRPr="00D60728" w:rsidTr="0064574C">
        <w:trPr>
          <w:trHeight w:val="1247"/>
        </w:trPr>
        <w:tc>
          <w:tcPr>
            <w:tcW w:w="1129" w:type="dxa"/>
            <w:vMerge/>
            <w:vAlign w:val="center"/>
          </w:tcPr>
          <w:p w:rsidR="00B619A3" w:rsidRPr="00D60728" w:rsidRDefault="00B619A3" w:rsidP="00BF7DCC">
            <w:pPr>
              <w:spacing w:line="240" w:lineRule="auto"/>
              <w:jc w:val="left"/>
              <w:rPr>
                <w:rFonts w:ascii="Times New Roman" w:hAnsi="Times New Roman"/>
                <w:sz w:val="20"/>
                <w:szCs w:val="20"/>
              </w:rPr>
            </w:pPr>
          </w:p>
        </w:tc>
        <w:tc>
          <w:tcPr>
            <w:tcW w:w="1418" w:type="dxa"/>
            <w:vAlign w:val="center"/>
          </w:tcPr>
          <w:p w:rsidR="00B619A3" w:rsidRPr="00D60728" w:rsidRDefault="00B619A3"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B619A3" w:rsidRPr="00D60728" w:rsidRDefault="00B619A3" w:rsidP="00BF7DCC">
            <w:pPr>
              <w:spacing w:line="240" w:lineRule="auto"/>
              <w:rPr>
                <w:rFonts w:ascii="Times New Roman" w:hAnsi="Times New Roman"/>
                <w:i/>
                <w:iCs/>
                <w:sz w:val="20"/>
                <w:szCs w:val="20"/>
              </w:rPr>
            </w:pPr>
            <w:r w:rsidRPr="00D60728">
              <w:rPr>
                <w:rFonts w:ascii="Times New Roman" w:hAnsi="Times New Roman"/>
                <w:i/>
                <w:iCs/>
                <w:sz w:val="20"/>
                <w:szCs w:val="20"/>
              </w:rPr>
              <w:t>Povećanje energetske učinkovitosti postiže se provođenjem mjera koje doprinose smanjenju energetske intenzivnosti putem racionalnijeg korištenja energije i sirovina i izmjenama proizvodnih procesa i opreme na crpnim stanicama i u rafinerijama što doprinosi smanjenju fugitivnih emisija.</w:t>
            </w:r>
          </w:p>
        </w:tc>
      </w:tr>
      <w:tr w:rsidR="006A7A40" w:rsidRPr="00D60728" w:rsidTr="0064574C">
        <w:trPr>
          <w:trHeight w:val="629"/>
        </w:trPr>
        <w:tc>
          <w:tcPr>
            <w:tcW w:w="1129" w:type="dxa"/>
            <w:hideMark/>
          </w:tcPr>
          <w:p w:rsidR="006A7A40" w:rsidRPr="00D60728" w:rsidRDefault="006A7A40"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tcPr>
          <w:p w:rsidR="006A7A40" w:rsidRPr="00D60728" w:rsidRDefault="006A7A40"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tcPr>
          <w:p w:rsidR="006A7A40" w:rsidRPr="00D60728" w:rsidRDefault="006A7A40" w:rsidP="00BF7DCC">
            <w:pPr>
              <w:spacing w:line="240" w:lineRule="auto"/>
              <w:rPr>
                <w:rFonts w:ascii="Times New Roman" w:hAnsi="Times New Roman"/>
                <w:i/>
                <w:iCs/>
                <w:sz w:val="20"/>
                <w:szCs w:val="20"/>
              </w:rPr>
            </w:pPr>
            <w:r w:rsidRPr="00D60728">
              <w:rPr>
                <w:rFonts w:ascii="Times New Roman" w:hAnsi="Times New Roman"/>
                <w:i/>
                <w:iCs/>
                <w:sz w:val="20"/>
                <w:szCs w:val="20"/>
              </w:rPr>
              <w:t>INA d.d.</w:t>
            </w:r>
          </w:p>
          <w:p w:rsidR="006A7A40" w:rsidRPr="00D60728" w:rsidRDefault="006A7A40"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bl>
    <w:p w:rsidR="00A50A73" w:rsidRPr="00D60728" w:rsidRDefault="00A50A73" w:rsidP="00BF7DCC">
      <w:pPr>
        <w:spacing w:line="240" w:lineRule="auto"/>
        <w:rPr>
          <w:sz w:val="20"/>
          <w:szCs w:val="20"/>
        </w:rPr>
      </w:pPr>
    </w:p>
    <w:p w:rsidR="0048643E" w:rsidRPr="00D60728" w:rsidRDefault="0048643E"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A50A73" w:rsidRPr="00707212" w:rsidTr="00B619A3">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Spaljivanje metana na baklji</w:t>
            </w:r>
          </w:p>
        </w:tc>
      </w:tr>
      <w:tr w:rsidR="00A50A73" w:rsidRPr="00D60728" w:rsidTr="00B619A3">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shd w:val="clear" w:color="auto" w:fill="auto"/>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MEN-26</w:t>
            </w:r>
          </w:p>
        </w:tc>
      </w:tr>
      <w:tr w:rsidR="00A50A73" w:rsidRPr="00D60728" w:rsidTr="00B619A3">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shd w:val="clear" w:color="auto" w:fill="auto"/>
            <w:vAlign w:val="center"/>
          </w:tcPr>
          <w:p w:rsidR="00A50A73" w:rsidRPr="00D60728" w:rsidRDefault="0048643E" w:rsidP="00BF7DCC">
            <w:pPr>
              <w:spacing w:line="240" w:lineRule="auto"/>
              <w:rPr>
                <w:rFonts w:ascii="Times New Roman" w:hAnsi="Times New Roman"/>
                <w:i/>
                <w:iCs/>
                <w:sz w:val="20"/>
                <w:szCs w:val="20"/>
              </w:rPr>
            </w:pPr>
            <w:r w:rsidRPr="00D60728">
              <w:rPr>
                <w:rFonts w:ascii="Times New Roman" w:hAnsi="Times New Roman"/>
                <w:i/>
                <w:iCs/>
                <w:sz w:val="20"/>
                <w:szCs w:val="20"/>
              </w:rPr>
              <w:t>Financijska</w:t>
            </w:r>
          </w:p>
        </w:tc>
      </w:tr>
      <w:tr w:rsidR="00A50A73" w:rsidRPr="00D60728" w:rsidTr="00B619A3">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shd w:val="clear" w:color="auto" w:fill="auto"/>
            <w:vAlign w:val="center"/>
            <w:hideMark/>
          </w:tcPr>
          <w:p w:rsidR="00A50A73" w:rsidRPr="00D60728" w:rsidRDefault="0048643E"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A50A73" w:rsidRPr="00D60728" w:rsidTr="00B619A3">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shd w:val="clear" w:color="auto" w:fill="auto"/>
            <w:vAlign w:val="center"/>
            <w:hideMark/>
          </w:tcPr>
          <w:p w:rsidR="00A50A73" w:rsidRPr="00D60728" w:rsidRDefault="0048643E"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A50A73" w:rsidRPr="00D60728" w:rsidTr="00B619A3">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auto"/>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Smanjenje fugitvinih emisija</w:t>
            </w:r>
          </w:p>
        </w:tc>
      </w:tr>
      <w:tr w:rsidR="0048643E" w:rsidRPr="00D60728" w:rsidTr="00B619A3">
        <w:trPr>
          <w:trHeight w:val="964"/>
        </w:trPr>
        <w:tc>
          <w:tcPr>
            <w:tcW w:w="1129" w:type="dxa"/>
            <w:vMerge/>
            <w:vAlign w:val="center"/>
          </w:tcPr>
          <w:p w:rsidR="0048643E" w:rsidRPr="00D60728" w:rsidRDefault="0048643E" w:rsidP="00BF7DCC">
            <w:pPr>
              <w:spacing w:line="240" w:lineRule="auto"/>
              <w:jc w:val="left"/>
              <w:rPr>
                <w:rFonts w:ascii="Times New Roman" w:hAnsi="Times New Roman"/>
                <w:sz w:val="20"/>
                <w:szCs w:val="20"/>
              </w:rPr>
            </w:pPr>
          </w:p>
        </w:tc>
        <w:tc>
          <w:tcPr>
            <w:tcW w:w="1418" w:type="dxa"/>
            <w:vAlign w:val="center"/>
          </w:tcPr>
          <w:p w:rsidR="0048643E" w:rsidRPr="00D60728" w:rsidRDefault="0048643E"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shd w:val="clear" w:color="auto" w:fill="auto"/>
            <w:vAlign w:val="center"/>
          </w:tcPr>
          <w:p w:rsidR="0048643E" w:rsidRPr="00D60728" w:rsidRDefault="0048643E" w:rsidP="00BF7DCC">
            <w:pPr>
              <w:spacing w:line="240" w:lineRule="auto"/>
              <w:rPr>
                <w:rFonts w:ascii="Times New Roman" w:hAnsi="Times New Roman"/>
                <w:i/>
                <w:iCs/>
                <w:sz w:val="20"/>
                <w:szCs w:val="20"/>
              </w:rPr>
            </w:pPr>
            <w:r w:rsidRPr="00D60728">
              <w:rPr>
                <w:rFonts w:ascii="Times New Roman" w:hAnsi="Times New Roman"/>
                <w:i/>
                <w:iCs/>
                <w:sz w:val="20"/>
                <w:szCs w:val="20"/>
              </w:rPr>
              <w:t>S ciljem smanjenja fugitivnih emisija, umjesto otplinjavnja metana, metan se spaljuje na baklji. Na taj način se emisije metana smanjuju za 95-99% ovisno o učinkovitosti baklji.</w:t>
            </w:r>
          </w:p>
        </w:tc>
      </w:tr>
      <w:tr w:rsidR="00B619A3" w:rsidRPr="00D60728" w:rsidTr="00B619A3">
        <w:trPr>
          <w:trHeight w:val="629"/>
        </w:trPr>
        <w:tc>
          <w:tcPr>
            <w:tcW w:w="1129" w:type="dxa"/>
            <w:hideMark/>
          </w:tcPr>
          <w:p w:rsidR="00B619A3" w:rsidRPr="00D60728" w:rsidRDefault="00B619A3" w:rsidP="00BF7DCC">
            <w:pPr>
              <w:spacing w:line="240" w:lineRule="auto"/>
              <w:jc w:val="left"/>
              <w:rPr>
                <w:rFonts w:ascii="Times New Roman" w:hAnsi="Times New Roman"/>
                <w:sz w:val="20"/>
                <w:szCs w:val="20"/>
              </w:rPr>
            </w:pPr>
            <w:r w:rsidRPr="00D60728">
              <w:rPr>
                <w:rFonts w:ascii="Times New Roman" w:hAnsi="Times New Roman"/>
                <w:sz w:val="20"/>
                <w:szCs w:val="20"/>
              </w:rPr>
              <w:lastRenderedPageBreak/>
              <w:t>Način provedbe</w:t>
            </w:r>
          </w:p>
        </w:tc>
        <w:tc>
          <w:tcPr>
            <w:tcW w:w="1418" w:type="dxa"/>
          </w:tcPr>
          <w:p w:rsidR="00B619A3" w:rsidRPr="00D60728" w:rsidRDefault="00B619A3"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tcPr>
          <w:p w:rsidR="00B619A3" w:rsidRPr="00D60728" w:rsidRDefault="00B619A3" w:rsidP="00BF7DCC">
            <w:pPr>
              <w:spacing w:line="240" w:lineRule="auto"/>
              <w:rPr>
                <w:rFonts w:ascii="Times New Roman" w:hAnsi="Times New Roman"/>
                <w:i/>
                <w:iCs/>
                <w:sz w:val="20"/>
                <w:szCs w:val="20"/>
              </w:rPr>
            </w:pPr>
            <w:r w:rsidRPr="00D60728">
              <w:rPr>
                <w:rFonts w:ascii="Times New Roman" w:hAnsi="Times New Roman"/>
                <w:i/>
                <w:iCs/>
                <w:sz w:val="20"/>
                <w:szCs w:val="20"/>
              </w:rPr>
              <w:t>INA d.d.</w:t>
            </w:r>
          </w:p>
          <w:p w:rsidR="00B619A3" w:rsidRPr="00D60728" w:rsidRDefault="00B619A3"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bl>
    <w:p w:rsidR="00A50A73" w:rsidRPr="00D60728" w:rsidRDefault="00A50A73" w:rsidP="00BF7DCC">
      <w:pPr>
        <w:spacing w:line="240" w:lineRule="auto"/>
        <w:rPr>
          <w:sz w:val="20"/>
          <w:szCs w:val="20"/>
        </w:rPr>
      </w:pPr>
    </w:p>
    <w:p w:rsidR="00D5170A" w:rsidRPr="00D60728" w:rsidRDefault="00D5170A"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A50A73" w:rsidRPr="00707212" w:rsidTr="00D5170A">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Razvoj prijenosne elektroenergetske mreže</w:t>
            </w:r>
          </w:p>
        </w:tc>
      </w:tr>
      <w:tr w:rsidR="00A50A73" w:rsidRPr="00D60728" w:rsidTr="00D5170A">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MEN-2</w:t>
            </w:r>
            <w:r w:rsidR="00D5170A" w:rsidRPr="00D60728">
              <w:rPr>
                <w:rFonts w:ascii="Times New Roman" w:hAnsi="Times New Roman"/>
                <w:i/>
                <w:iCs/>
                <w:sz w:val="20"/>
                <w:szCs w:val="20"/>
              </w:rPr>
              <w:t>7</w:t>
            </w:r>
          </w:p>
        </w:tc>
      </w:tr>
      <w:tr w:rsidR="00A50A73" w:rsidRPr="00D60728" w:rsidTr="00D5170A">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A50A73" w:rsidRPr="00D60728" w:rsidTr="008D5D4E">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shd w:val="clear" w:color="auto" w:fill="auto"/>
            <w:vAlign w:val="center"/>
            <w:hideMark/>
          </w:tcPr>
          <w:p w:rsidR="00A50A73" w:rsidRPr="00D60728" w:rsidRDefault="008D5D4E"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A50A73" w:rsidRPr="00D60728" w:rsidTr="008D5D4E">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shd w:val="clear" w:color="auto" w:fill="auto"/>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8D5D4E" w:rsidRPr="00D60728">
              <w:rPr>
                <w:rFonts w:ascii="Times New Roman" w:hAnsi="Times New Roman"/>
                <w:i/>
                <w:iCs/>
                <w:sz w:val="20"/>
                <w:szCs w:val="20"/>
              </w:rPr>
              <w:t>24</w:t>
            </w:r>
            <w:r w:rsidRPr="00D60728">
              <w:rPr>
                <w:rFonts w:ascii="Times New Roman" w:hAnsi="Times New Roman"/>
                <w:i/>
                <w:iCs/>
                <w:sz w:val="20"/>
                <w:szCs w:val="20"/>
              </w:rPr>
              <w:t>.</w:t>
            </w:r>
          </w:p>
        </w:tc>
      </w:tr>
      <w:tr w:rsidR="008D5D4E" w:rsidRPr="00D60728" w:rsidTr="008D5D4E">
        <w:trPr>
          <w:trHeight w:val="4025"/>
        </w:trPr>
        <w:tc>
          <w:tcPr>
            <w:tcW w:w="1129" w:type="dxa"/>
            <w:vMerge/>
            <w:vAlign w:val="center"/>
            <w:hideMark/>
          </w:tcPr>
          <w:p w:rsidR="008D5D4E" w:rsidRPr="00D60728" w:rsidRDefault="008D5D4E" w:rsidP="00BF7DCC">
            <w:pPr>
              <w:spacing w:line="240" w:lineRule="auto"/>
              <w:jc w:val="left"/>
              <w:rPr>
                <w:rFonts w:ascii="Times New Roman" w:hAnsi="Times New Roman"/>
                <w:sz w:val="20"/>
                <w:szCs w:val="20"/>
              </w:rPr>
            </w:pPr>
          </w:p>
        </w:tc>
        <w:tc>
          <w:tcPr>
            <w:tcW w:w="1418" w:type="dxa"/>
            <w:vAlign w:val="center"/>
          </w:tcPr>
          <w:p w:rsidR="008D5D4E" w:rsidRPr="00D60728" w:rsidRDefault="008D5D4E"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8D5D4E" w:rsidRPr="00D60728" w:rsidRDefault="008D5D4E" w:rsidP="00BF7DCC">
            <w:pPr>
              <w:spacing w:line="240" w:lineRule="auto"/>
              <w:rPr>
                <w:rFonts w:ascii="Times New Roman" w:hAnsi="Times New Roman"/>
                <w:i/>
                <w:iCs/>
                <w:sz w:val="20"/>
                <w:szCs w:val="20"/>
              </w:rPr>
            </w:pPr>
            <w:r w:rsidRPr="00D60728">
              <w:rPr>
                <w:rFonts w:ascii="Times New Roman" w:hAnsi="Times New Roman"/>
                <w:i/>
                <w:iCs/>
                <w:sz w:val="20"/>
                <w:szCs w:val="20"/>
              </w:rPr>
              <w:t>Hrvatski operator prijenosnog sustava d.o.o. (u daljnjem tekstu: HOPS) je prema Zakonu o energiji (NN 120/12; 14/14; 95/15; 102/15, 68/16), energetski subjekt odgovoran za upravljanje, pogon i vođenje, održavanje, razvoj i izgradnju prijenosne elektroenergetske mreže. Na temelju Zakona o tržištu električne energije (NN 22/13, 95/15 i 102/15, 68/18, 52/19), HOPS je kao vlasnik prijenosne mreže 110 kV do 400 kV, dužan izraditi i donijeti, uz prethodnu suglasnost Hrvatske energetske regulatorne agencije (u daljnjem tekstu: HERA), desetogodišnje, trogodišnje i jednogodišnje investicijske planove razvoja prijenosne mreže. Desetgodišnji planovi razvoja noveliraju se na godišnjoj razini. U trenutku usvajanja ovog dokumenta relevantan je bio Desetogodišnji plan razvoja prijenosne mreže 2019.-2028., s detaljnom razradom za početno trogodišnje i jednogodišnje razdoblje koji je HERA odobrila u srpnju 2019. godine. Plan će se kontinuirano ažurirati tijekom čitavog razdoblja provedbe ovog dokumenta.</w:t>
            </w:r>
          </w:p>
        </w:tc>
      </w:tr>
      <w:tr w:rsidR="00A50A73" w:rsidRPr="00D60728" w:rsidTr="008D5D4E">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A50A73" w:rsidRPr="00D60728" w:rsidRDefault="00A50A73" w:rsidP="00BF7DCC">
            <w:pPr>
              <w:pStyle w:val="ListParagraph"/>
              <w:spacing w:line="240" w:lineRule="auto"/>
              <w:ind w:left="0"/>
              <w:contextualSpacing w:val="0"/>
              <w:rPr>
                <w:rFonts w:ascii="Times New Roman" w:hAnsi="Times New Roman"/>
                <w:i/>
                <w:sz w:val="20"/>
                <w:szCs w:val="20"/>
              </w:rPr>
            </w:pPr>
            <w:r w:rsidRPr="00D60728">
              <w:rPr>
                <w:rFonts w:ascii="Times New Roman" w:hAnsi="Times New Roman"/>
                <w:i/>
                <w:sz w:val="20"/>
                <w:szCs w:val="20"/>
              </w:rPr>
              <w:t>prema Desetogodišnjem planu razvoja prijenosne mreže</w:t>
            </w:r>
          </w:p>
        </w:tc>
      </w:tr>
      <w:tr w:rsidR="003E0973" w:rsidRPr="00D60728" w:rsidTr="003E0973">
        <w:trPr>
          <w:trHeight w:val="567"/>
        </w:trPr>
        <w:tc>
          <w:tcPr>
            <w:tcW w:w="1129" w:type="dxa"/>
            <w:vMerge/>
            <w:vAlign w:val="center"/>
            <w:hideMark/>
          </w:tcPr>
          <w:p w:rsidR="003E0973" w:rsidRPr="00D60728" w:rsidRDefault="003E0973" w:rsidP="00BF7DCC">
            <w:pPr>
              <w:spacing w:line="240" w:lineRule="auto"/>
              <w:jc w:val="left"/>
              <w:rPr>
                <w:rFonts w:ascii="Times New Roman" w:hAnsi="Times New Roman"/>
                <w:sz w:val="20"/>
                <w:szCs w:val="20"/>
              </w:rPr>
            </w:pPr>
          </w:p>
        </w:tc>
        <w:tc>
          <w:tcPr>
            <w:tcW w:w="1418" w:type="dxa"/>
            <w:vAlign w:val="center"/>
            <w:hideMark/>
          </w:tcPr>
          <w:p w:rsidR="003E0973" w:rsidRPr="00D60728" w:rsidRDefault="003E0973"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3E0973" w:rsidRPr="00D60728" w:rsidRDefault="003E0973" w:rsidP="00BF7DCC">
            <w:pPr>
              <w:spacing w:line="240" w:lineRule="auto"/>
              <w:rPr>
                <w:rFonts w:ascii="Times New Roman" w:hAnsi="Times New Roman"/>
                <w:i/>
                <w:iCs/>
                <w:sz w:val="20"/>
                <w:szCs w:val="20"/>
              </w:rPr>
            </w:pPr>
            <w:r w:rsidRPr="00D60728">
              <w:rPr>
                <w:rFonts w:ascii="Times New Roman" w:hAnsi="Times New Roman"/>
                <w:i/>
                <w:iCs/>
                <w:sz w:val="20"/>
                <w:szCs w:val="20"/>
              </w:rPr>
              <w:t>HOPS</w:t>
            </w:r>
          </w:p>
        </w:tc>
      </w:tr>
      <w:tr w:rsidR="00A50A73" w:rsidRPr="00D60728" w:rsidTr="00D5170A">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A50A73" w:rsidRPr="00D60728" w:rsidRDefault="00A50A7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8 milijardi kuna</w:t>
            </w:r>
          </w:p>
          <w:p w:rsidR="00A50A73" w:rsidRPr="00D60728" w:rsidRDefault="00A50A7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naknada za prijenos električne energije; sudjelovanje novih korisnika u stvaranju tehničkih uvjeta u mreži za priključak svojih postrojenja; EU sredstva (strukturni, inovacijski i modernizacijski fond)</w:t>
            </w:r>
          </w:p>
        </w:tc>
      </w:tr>
      <w:tr w:rsidR="008D5D4E" w:rsidRPr="00D60728" w:rsidTr="003E0973">
        <w:trPr>
          <w:trHeight w:val="839"/>
        </w:trPr>
        <w:tc>
          <w:tcPr>
            <w:tcW w:w="1129" w:type="dxa"/>
            <w:vMerge w:val="restart"/>
            <w:vAlign w:val="center"/>
            <w:hideMark/>
          </w:tcPr>
          <w:p w:rsidR="008D5D4E" w:rsidRPr="00D60728" w:rsidRDefault="008D5D4E"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8D5D4E" w:rsidRPr="00D60728" w:rsidRDefault="008D5D4E"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8D5D4E" w:rsidRPr="00D60728" w:rsidRDefault="008D5D4E"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siguran i pouzdan rad prijenosne električne mreže</w:t>
            </w:r>
          </w:p>
        </w:tc>
      </w:tr>
      <w:tr w:rsidR="008D5D4E" w:rsidRPr="00D60728" w:rsidTr="003E0973">
        <w:trPr>
          <w:trHeight w:val="1120"/>
        </w:trPr>
        <w:tc>
          <w:tcPr>
            <w:tcW w:w="1129" w:type="dxa"/>
            <w:vMerge/>
            <w:vAlign w:val="center"/>
            <w:hideMark/>
          </w:tcPr>
          <w:p w:rsidR="008D5D4E" w:rsidRPr="00D60728" w:rsidRDefault="008D5D4E" w:rsidP="00BF7DCC">
            <w:pPr>
              <w:spacing w:line="240" w:lineRule="auto"/>
              <w:jc w:val="left"/>
              <w:rPr>
                <w:rFonts w:ascii="Times New Roman" w:hAnsi="Times New Roman"/>
                <w:sz w:val="20"/>
                <w:szCs w:val="20"/>
              </w:rPr>
            </w:pPr>
          </w:p>
        </w:tc>
        <w:tc>
          <w:tcPr>
            <w:tcW w:w="1418" w:type="dxa"/>
            <w:vAlign w:val="center"/>
          </w:tcPr>
          <w:p w:rsidR="008D5D4E" w:rsidRPr="00D60728" w:rsidRDefault="008D5D4E"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8D5D4E" w:rsidRPr="00D60728" w:rsidRDefault="008D5D4E"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izvještaji HERA-i</w:t>
            </w:r>
          </w:p>
        </w:tc>
      </w:tr>
    </w:tbl>
    <w:p w:rsidR="00A50A73" w:rsidRPr="00D60728" w:rsidRDefault="00A50A73" w:rsidP="00BF7DCC">
      <w:pPr>
        <w:spacing w:line="240" w:lineRule="auto"/>
        <w:rPr>
          <w:sz w:val="20"/>
          <w:szCs w:val="20"/>
        </w:rPr>
      </w:pPr>
    </w:p>
    <w:p w:rsidR="00A50A73" w:rsidRPr="00D60728" w:rsidRDefault="00A50A73" w:rsidP="00BF7DCC">
      <w:pPr>
        <w:spacing w:line="240" w:lineRule="auto"/>
        <w:rPr>
          <w:sz w:val="20"/>
          <w:szCs w:val="20"/>
        </w:rPr>
      </w:pPr>
    </w:p>
    <w:p w:rsidR="00A50A73" w:rsidRPr="00D60728" w:rsidRDefault="00A50A73" w:rsidP="00BF7DCC">
      <w:pPr>
        <w:pStyle w:val="Caption"/>
        <w:keepNext/>
        <w:spacing w:after="0" w:line="240" w:lineRule="auto"/>
        <w:rPr>
          <w:sz w:val="20"/>
          <w:szCs w:val="20"/>
        </w:rPr>
      </w:pPr>
    </w:p>
    <w:p w:rsidR="00B0241E" w:rsidRPr="00D60728" w:rsidRDefault="00B0241E" w:rsidP="00BF7DCC">
      <w:pPr>
        <w:spacing w:line="240" w:lineRule="auto"/>
        <w:rPr>
          <w:sz w:val="20"/>
          <w:szCs w:val="20"/>
        </w:rPr>
      </w:pPr>
      <w:r w:rsidRPr="00D60728">
        <w:rPr>
          <w:sz w:val="20"/>
          <w:szCs w:val="20"/>
        </w:rPr>
        <w:br w:type="page"/>
      </w:r>
    </w:p>
    <w:tbl>
      <w:tblPr>
        <w:tblStyle w:val="TableGrid"/>
        <w:tblW w:w="9175" w:type="dxa"/>
        <w:tblLayout w:type="fixed"/>
        <w:tblLook w:val="04A0" w:firstRow="1" w:lastRow="0" w:firstColumn="1" w:lastColumn="0" w:noHBand="0" w:noVBand="1"/>
      </w:tblPr>
      <w:tblGrid>
        <w:gridCol w:w="1129"/>
        <w:gridCol w:w="1418"/>
        <w:gridCol w:w="6628"/>
      </w:tblGrid>
      <w:tr w:rsidR="00A50A73" w:rsidRPr="00707212" w:rsidTr="00B0241E">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Razvoj plinskog transportnog sustava</w:t>
            </w:r>
          </w:p>
        </w:tc>
      </w:tr>
      <w:tr w:rsidR="00A50A73" w:rsidRPr="00D60728" w:rsidTr="00B0241E">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MEN-2</w:t>
            </w:r>
            <w:r w:rsidR="00D5170A" w:rsidRPr="00D60728">
              <w:rPr>
                <w:rFonts w:ascii="Times New Roman" w:hAnsi="Times New Roman"/>
                <w:i/>
                <w:iCs/>
                <w:sz w:val="20"/>
                <w:szCs w:val="20"/>
              </w:rPr>
              <w:t>8</w:t>
            </w:r>
          </w:p>
        </w:tc>
      </w:tr>
      <w:tr w:rsidR="00A50A73" w:rsidRPr="00D60728" w:rsidTr="00B0241E">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A50A73" w:rsidRPr="00D60728" w:rsidTr="00B0241E">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B0241E" w:rsidRPr="00D60728">
              <w:rPr>
                <w:rFonts w:ascii="Times New Roman" w:hAnsi="Times New Roman"/>
                <w:i/>
                <w:iCs/>
                <w:sz w:val="20"/>
                <w:szCs w:val="20"/>
              </w:rPr>
              <w:t>0</w:t>
            </w:r>
            <w:r w:rsidRPr="00D60728">
              <w:rPr>
                <w:rFonts w:ascii="Times New Roman" w:hAnsi="Times New Roman"/>
                <w:i/>
                <w:iCs/>
                <w:sz w:val="20"/>
                <w:szCs w:val="20"/>
              </w:rPr>
              <w:t>.</w:t>
            </w:r>
          </w:p>
        </w:tc>
      </w:tr>
      <w:tr w:rsidR="00A50A73" w:rsidRPr="00D60728" w:rsidTr="00B0241E">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vAlign w:val="center"/>
            <w:hideMark/>
          </w:tcPr>
          <w:p w:rsidR="00A50A73" w:rsidRPr="00D60728" w:rsidRDefault="00B0241E"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r w:rsidR="00A50A73" w:rsidRPr="00D60728">
              <w:rPr>
                <w:rFonts w:ascii="Times New Roman" w:hAnsi="Times New Roman"/>
                <w:i/>
                <w:iCs/>
                <w:sz w:val="20"/>
                <w:szCs w:val="20"/>
              </w:rPr>
              <w:t>.</w:t>
            </w:r>
          </w:p>
        </w:tc>
      </w:tr>
      <w:tr w:rsidR="00A50A73" w:rsidRPr="00D60728" w:rsidTr="00B0241E">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Siguran i pouzdan rad plinskog transportnog sustava</w:t>
            </w:r>
          </w:p>
        </w:tc>
      </w:tr>
      <w:tr w:rsidR="00B0241E" w:rsidRPr="00D60728" w:rsidTr="00992D77">
        <w:trPr>
          <w:trHeight w:val="1474"/>
        </w:trPr>
        <w:tc>
          <w:tcPr>
            <w:tcW w:w="1129" w:type="dxa"/>
            <w:vMerge/>
            <w:vAlign w:val="center"/>
          </w:tcPr>
          <w:p w:rsidR="00B0241E" w:rsidRPr="00D60728" w:rsidRDefault="00B0241E" w:rsidP="00BF7DCC">
            <w:pPr>
              <w:spacing w:line="240" w:lineRule="auto"/>
              <w:jc w:val="left"/>
              <w:rPr>
                <w:rFonts w:ascii="Times New Roman" w:hAnsi="Times New Roman"/>
                <w:sz w:val="20"/>
                <w:szCs w:val="20"/>
              </w:rPr>
            </w:pPr>
          </w:p>
        </w:tc>
        <w:tc>
          <w:tcPr>
            <w:tcW w:w="1418" w:type="dxa"/>
            <w:vAlign w:val="center"/>
          </w:tcPr>
          <w:p w:rsidR="00B0241E" w:rsidRPr="00D60728" w:rsidRDefault="00B0241E"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shd w:val="clear" w:color="auto" w:fill="auto"/>
            <w:vAlign w:val="center"/>
          </w:tcPr>
          <w:p w:rsidR="00B0241E" w:rsidRPr="00D60728" w:rsidRDefault="00B0241E" w:rsidP="00BF7DCC">
            <w:pPr>
              <w:spacing w:line="240" w:lineRule="auto"/>
              <w:rPr>
                <w:rFonts w:ascii="Times New Roman" w:hAnsi="Times New Roman"/>
                <w:i/>
                <w:iCs/>
                <w:sz w:val="20"/>
                <w:szCs w:val="20"/>
              </w:rPr>
            </w:pPr>
            <w:r w:rsidRPr="00D60728">
              <w:rPr>
                <w:rFonts w:ascii="Times New Roman" w:hAnsi="Times New Roman"/>
                <w:i/>
                <w:iCs/>
                <w:sz w:val="20"/>
                <w:szCs w:val="20"/>
              </w:rPr>
              <w:t>Desetgodišnji planovi razvoja plinskog transportnog sustava noveliraju se na godišnjoj razini, a odobrava ih HERA. U trenutku usvajanja ovog dokumenta relevantan je bio Desetogodišnji plan razvoja plinskog transportnog sustava Republike Hrvatske 2018.-2027. Plan će se kontinuirano ažurirati tijekom čitavog razdoblja provedbe ovog dokumenta.</w:t>
            </w:r>
          </w:p>
        </w:tc>
      </w:tr>
      <w:tr w:rsidR="00A50A73" w:rsidRPr="00D60728" w:rsidTr="00992D77">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A50A73" w:rsidRPr="00D60728" w:rsidRDefault="00A50A73" w:rsidP="00BF7DCC">
            <w:pPr>
              <w:pStyle w:val="ListParagraph"/>
              <w:spacing w:line="240" w:lineRule="auto"/>
              <w:ind w:left="0"/>
              <w:contextualSpacing w:val="0"/>
              <w:rPr>
                <w:rFonts w:ascii="Times New Roman" w:hAnsi="Times New Roman"/>
                <w:i/>
                <w:sz w:val="20"/>
                <w:szCs w:val="20"/>
              </w:rPr>
            </w:pPr>
            <w:r w:rsidRPr="00D60728">
              <w:rPr>
                <w:rFonts w:ascii="Times New Roman" w:hAnsi="Times New Roman"/>
                <w:i/>
                <w:sz w:val="20"/>
                <w:szCs w:val="20"/>
              </w:rPr>
              <w:t>prema Desetogodišnjem planu razvoja transportnog sustava</w:t>
            </w:r>
          </w:p>
        </w:tc>
      </w:tr>
      <w:tr w:rsidR="00992D77" w:rsidRPr="00D60728" w:rsidTr="00992D77">
        <w:trPr>
          <w:trHeight w:val="680"/>
        </w:trPr>
        <w:tc>
          <w:tcPr>
            <w:tcW w:w="1129" w:type="dxa"/>
            <w:vMerge/>
            <w:vAlign w:val="center"/>
            <w:hideMark/>
          </w:tcPr>
          <w:p w:rsidR="00992D77" w:rsidRPr="00D60728" w:rsidRDefault="00992D77" w:rsidP="00BF7DCC">
            <w:pPr>
              <w:spacing w:line="240" w:lineRule="auto"/>
              <w:jc w:val="left"/>
              <w:rPr>
                <w:rFonts w:ascii="Times New Roman" w:hAnsi="Times New Roman"/>
                <w:sz w:val="20"/>
                <w:szCs w:val="20"/>
              </w:rPr>
            </w:pPr>
          </w:p>
        </w:tc>
        <w:tc>
          <w:tcPr>
            <w:tcW w:w="1418" w:type="dxa"/>
            <w:vAlign w:val="center"/>
            <w:hideMark/>
          </w:tcPr>
          <w:p w:rsidR="00992D77" w:rsidRPr="00D60728" w:rsidRDefault="00992D77"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992D77" w:rsidRPr="00D60728" w:rsidRDefault="00992D77" w:rsidP="00BF7DCC">
            <w:pPr>
              <w:spacing w:line="240" w:lineRule="auto"/>
              <w:rPr>
                <w:rFonts w:ascii="Times New Roman" w:hAnsi="Times New Roman"/>
                <w:i/>
                <w:iCs/>
                <w:sz w:val="20"/>
                <w:szCs w:val="20"/>
              </w:rPr>
            </w:pPr>
            <w:r w:rsidRPr="00D60728">
              <w:rPr>
                <w:rFonts w:ascii="Times New Roman" w:hAnsi="Times New Roman"/>
                <w:i/>
                <w:iCs/>
                <w:sz w:val="20"/>
                <w:szCs w:val="20"/>
              </w:rPr>
              <w:t>Plinacro</w:t>
            </w:r>
          </w:p>
          <w:p w:rsidR="00992D77" w:rsidRPr="00D60728" w:rsidRDefault="00992D77"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tc>
      </w:tr>
      <w:tr w:rsidR="00A50A73" w:rsidRPr="00D60728" w:rsidTr="00992D77">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shd w:val="clear" w:color="auto" w:fill="auto"/>
            <w:vAlign w:val="center"/>
          </w:tcPr>
          <w:p w:rsidR="00A50A73" w:rsidRPr="00D60728" w:rsidRDefault="00A50A7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8 milijardi kuna</w:t>
            </w:r>
          </w:p>
        </w:tc>
      </w:tr>
      <w:tr w:rsidR="00992D77" w:rsidRPr="00D60728" w:rsidTr="00992D77">
        <w:trPr>
          <w:trHeight w:val="839"/>
        </w:trPr>
        <w:tc>
          <w:tcPr>
            <w:tcW w:w="1129" w:type="dxa"/>
            <w:vMerge w:val="restart"/>
            <w:vAlign w:val="center"/>
            <w:hideMark/>
          </w:tcPr>
          <w:p w:rsidR="00992D77" w:rsidRPr="00D60728" w:rsidRDefault="00992D77"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992D77" w:rsidRPr="00D60728" w:rsidRDefault="00992D77"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shd w:val="clear" w:color="auto" w:fill="auto"/>
            <w:vAlign w:val="center"/>
          </w:tcPr>
          <w:p w:rsidR="00992D77" w:rsidRPr="00D60728" w:rsidRDefault="00992D77"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siguran i pouzdan rad plinskog transportnog sustava</w:t>
            </w:r>
          </w:p>
        </w:tc>
      </w:tr>
      <w:tr w:rsidR="00992D77" w:rsidRPr="00D60728" w:rsidTr="00992D77">
        <w:trPr>
          <w:trHeight w:val="1120"/>
        </w:trPr>
        <w:tc>
          <w:tcPr>
            <w:tcW w:w="1129" w:type="dxa"/>
            <w:vMerge/>
            <w:vAlign w:val="center"/>
            <w:hideMark/>
          </w:tcPr>
          <w:p w:rsidR="00992D77" w:rsidRPr="00D60728" w:rsidRDefault="00992D77" w:rsidP="00BF7DCC">
            <w:pPr>
              <w:spacing w:line="240" w:lineRule="auto"/>
              <w:jc w:val="left"/>
              <w:rPr>
                <w:rFonts w:ascii="Times New Roman" w:hAnsi="Times New Roman"/>
                <w:sz w:val="20"/>
                <w:szCs w:val="20"/>
              </w:rPr>
            </w:pPr>
          </w:p>
        </w:tc>
        <w:tc>
          <w:tcPr>
            <w:tcW w:w="1418" w:type="dxa"/>
            <w:vAlign w:val="center"/>
          </w:tcPr>
          <w:p w:rsidR="00992D77" w:rsidRPr="00D60728" w:rsidRDefault="00992D77"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shd w:val="clear" w:color="auto" w:fill="auto"/>
            <w:vAlign w:val="center"/>
          </w:tcPr>
          <w:p w:rsidR="00992D77" w:rsidRPr="00D60728" w:rsidRDefault="00992D77"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izvještaji HERA-i</w:t>
            </w:r>
          </w:p>
        </w:tc>
      </w:tr>
    </w:tbl>
    <w:p w:rsidR="00A50A73" w:rsidRPr="00D60728" w:rsidRDefault="00A50A73" w:rsidP="00BF7DCC">
      <w:pPr>
        <w:spacing w:line="240" w:lineRule="auto"/>
        <w:rPr>
          <w:sz w:val="20"/>
          <w:szCs w:val="20"/>
        </w:rPr>
      </w:pPr>
    </w:p>
    <w:p w:rsidR="005005BC" w:rsidRPr="00D60728" w:rsidRDefault="005005BC"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A50A73" w:rsidRPr="00707212" w:rsidTr="005005BC">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Razrada regulatornog okvira za aktivno sudjelovanje korisnika mreže na tržištu električne energije</w:t>
            </w:r>
          </w:p>
        </w:tc>
      </w:tr>
      <w:tr w:rsidR="00A50A73" w:rsidRPr="00D60728" w:rsidTr="005005BC">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A50A73" w:rsidRPr="00D60728" w:rsidRDefault="005005BC"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MEN-29</w:t>
            </w:r>
          </w:p>
        </w:tc>
      </w:tr>
      <w:tr w:rsidR="00A50A73" w:rsidRPr="00D60728" w:rsidTr="005005BC">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A50A73" w:rsidRPr="00D60728" w:rsidTr="005005B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5005BC" w:rsidRPr="00D60728">
              <w:rPr>
                <w:rFonts w:ascii="Times New Roman" w:hAnsi="Times New Roman"/>
                <w:i/>
                <w:iCs/>
                <w:sz w:val="20"/>
                <w:szCs w:val="20"/>
              </w:rPr>
              <w:t>0</w:t>
            </w:r>
            <w:r w:rsidRPr="00D60728">
              <w:rPr>
                <w:rFonts w:ascii="Times New Roman" w:hAnsi="Times New Roman"/>
                <w:i/>
                <w:iCs/>
                <w:sz w:val="20"/>
                <w:szCs w:val="20"/>
              </w:rPr>
              <w:t>.</w:t>
            </w:r>
          </w:p>
        </w:tc>
      </w:tr>
      <w:tr w:rsidR="00A50A73" w:rsidRPr="00D60728" w:rsidTr="005005B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2022.</w:t>
            </w:r>
          </w:p>
        </w:tc>
      </w:tr>
      <w:tr w:rsidR="005005BC" w:rsidRPr="00D60728" w:rsidTr="00707212">
        <w:trPr>
          <w:trHeight w:val="3667"/>
        </w:trPr>
        <w:tc>
          <w:tcPr>
            <w:tcW w:w="1129" w:type="dxa"/>
            <w:vMerge/>
            <w:vAlign w:val="center"/>
            <w:hideMark/>
          </w:tcPr>
          <w:p w:rsidR="005005BC" w:rsidRPr="00D60728" w:rsidRDefault="005005BC" w:rsidP="00BF7DCC">
            <w:pPr>
              <w:spacing w:line="240" w:lineRule="auto"/>
              <w:jc w:val="left"/>
              <w:rPr>
                <w:rFonts w:ascii="Times New Roman" w:hAnsi="Times New Roman"/>
                <w:sz w:val="20"/>
                <w:szCs w:val="20"/>
              </w:rPr>
            </w:pPr>
          </w:p>
        </w:tc>
        <w:tc>
          <w:tcPr>
            <w:tcW w:w="1418" w:type="dxa"/>
            <w:vAlign w:val="center"/>
          </w:tcPr>
          <w:p w:rsidR="005005BC" w:rsidRPr="00D60728" w:rsidRDefault="005005BC"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5005BC" w:rsidRPr="00D60728" w:rsidRDefault="005005BC" w:rsidP="00BF7DCC">
            <w:pPr>
              <w:spacing w:line="240" w:lineRule="auto"/>
              <w:rPr>
                <w:rFonts w:ascii="Times New Roman" w:hAnsi="Times New Roman"/>
                <w:i/>
                <w:iCs/>
                <w:sz w:val="20"/>
                <w:szCs w:val="20"/>
              </w:rPr>
            </w:pPr>
            <w:r w:rsidRPr="00D60728">
              <w:rPr>
                <w:rFonts w:ascii="Times New Roman" w:hAnsi="Times New Roman"/>
                <w:i/>
                <w:iCs/>
                <w:sz w:val="20"/>
                <w:szCs w:val="20"/>
              </w:rPr>
              <w:t>Kako bi se omogućila aktivna uloga korisnika mreže na tržištu električne energije potrebno je na odgovarajući način izmijeniti i dopuniti postojeći regulatorni okvir, poglavito kroz uvođenje agregatora kao tržišnog sudionika te kroz omogućavanje pokretanja pilot projekata pružanja pomoćnih usluga. Pilot projektima detaljno će se analizirati usluge koje korisnici mogu pružati operatoru distribucijskog odnosno prijenosnog elektroenergetskog sustava. Analizirat će se moguće vrste, opseg, način i razdoblje pružanja pomoćnih usluga. Identificirat će se prepreke korištenju pomoćnih usluga i predložiti načini njihova uklanjanja. Prethodno će se provesti analiza potencijala za pružanje pomoćnih usluga i usluga fleksibilnosti odzivom potrošnje kod korisnika mreže na temelju koje će se definirati način i model pružanja pomoćnih usluga i odziva potrošnje od korisnika mreže. U provedbi ove mjere vodit će se računa i o novim tehnologijama (baterijski spremnici, punionice električnih vozila, isl) za čiju je širu primjenu također potrebna dorada regulatornog okvira.</w:t>
            </w:r>
          </w:p>
        </w:tc>
      </w:tr>
      <w:tr w:rsidR="00A50A73" w:rsidRPr="00D60728" w:rsidTr="005005BC">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A50A73" w:rsidRPr="00D60728" w:rsidRDefault="00A50A73" w:rsidP="00BF7DCC">
            <w:pPr>
              <w:pStyle w:val="ListParagraph"/>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 xml:space="preserve">razrada regulatornog okvira za nova energetska tržišta; </w:t>
            </w:r>
          </w:p>
          <w:p w:rsidR="00A50A73" w:rsidRPr="00D60728" w:rsidRDefault="00A50A73" w:rsidP="00BF7DCC">
            <w:pPr>
              <w:pStyle w:val="ListParagraph"/>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razrada regulatornog okvira za nezavisnog agregatora;</w:t>
            </w:r>
          </w:p>
          <w:p w:rsidR="00A50A73" w:rsidRPr="00D60728" w:rsidRDefault="00A50A73" w:rsidP="00BF7DCC">
            <w:pPr>
              <w:pStyle w:val="ListParagraph"/>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razrada regulatornog okvira za pružanje pomoćnih usluga.</w:t>
            </w:r>
          </w:p>
        </w:tc>
      </w:tr>
      <w:tr w:rsidR="005005BC" w:rsidRPr="00D60728" w:rsidTr="005005BC">
        <w:trPr>
          <w:trHeight w:val="624"/>
        </w:trPr>
        <w:tc>
          <w:tcPr>
            <w:tcW w:w="1129" w:type="dxa"/>
            <w:vMerge/>
            <w:vAlign w:val="center"/>
            <w:hideMark/>
          </w:tcPr>
          <w:p w:rsidR="005005BC" w:rsidRPr="00D60728" w:rsidRDefault="005005BC" w:rsidP="00BF7DCC">
            <w:pPr>
              <w:spacing w:line="240" w:lineRule="auto"/>
              <w:jc w:val="left"/>
              <w:rPr>
                <w:rFonts w:ascii="Times New Roman" w:hAnsi="Times New Roman"/>
                <w:sz w:val="20"/>
                <w:szCs w:val="20"/>
              </w:rPr>
            </w:pPr>
          </w:p>
        </w:tc>
        <w:tc>
          <w:tcPr>
            <w:tcW w:w="1418" w:type="dxa"/>
            <w:vAlign w:val="center"/>
            <w:hideMark/>
          </w:tcPr>
          <w:p w:rsidR="005005BC" w:rsidRPr="00D60728" w:rsidRDefault="005005BC"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5005BC" w:rsidRPr="00D60728" w:rsidRDefault="005005BC"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tc>
      </w:tr>
      <w:tr w:rsidR="00A50A73" w:rsidRPr="00D60728" w:rsidTr="005005B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A50A73" w:rsidRPr="00D60728" w:rsidRDefault="00A50A7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redovan rad državnih tijela</w:t>
            </w:r>
          </w:p>
        </w:tc>
      </w:tr>
      <w:tr w:rsidR="005005BC" w:rsidRPr="00D60728" w:rsidTr="005005BC">
        <w:trPr>
          <w:trHeight w:val="680"/>
        </w:trPr>
        <w:tc>
          <w:tcPr>
            <w:tcW w:w="1129" w:type="dxa"/>
            <w:vMerge w:val="restart"/>
            <w:vAlign w:val="center"/>
            <w:hideMark/>
          </w:tcPr>
          <w:p w:rsidR="005005BC" w:rsidRPr="00D60728" w:rsidRDefault="005005BC"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5005BC" w:rsidRPr="00D60728" w:rsidRDefault="005005BC"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5005BC" w:rsidRPr="00D60728" w:rsidRDefault="005005BC"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Pojava agregatora na energetskim tržištima;</w:t>
            </w:r>
          </w:p>
          <w:p w:rsidR="005005BC" w:rsidRPr="00D60728" w:rsidRDefault="005005BC"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Pojava novih energetskih tržišta</w:t>
            </w:r>
          </w:p>
        </w:tc>
      </w:tr>
      <w:tr w:rsidR="005005BC" w:rsidRPr="00D60728" w:rsidTr="003E0973">
        <w:trPr>
          <w:trHeight w:val="1120"/>
        </w:trPr>
        <w:tc>
          <w:tcPr>
            <w:tcW w:w="1129" w:type="dxa"/>
            <w:vMerge/>
            <w:vAlign w:val="center"/>
            <w:hideMark/>
          </w:tcPr>
          <w:p w:rsidR="005005BC" w:rsidRPr="00D60728" w:rsidRDefault="005005BC" w:rsidP="00BF7DCC">
            <w:pPr>
              <w:spacing w:line="240" w:lineRule="auto"/>
              <w:jc w:val="left"/>
              <w:rPr>
                <w:rFonts w:ascii="Times New Roman" w:hAnsi="Times New Roman"/>
                <w:sz w:val="20"/>
                <w:szCs w:val="20"/>
              </w:rPr>
            </w:pPr>
          </w:p>
        </w:tc>
        <w:tc>
          <w:tcPr>
            <w:tcW w:w="1418" w:type="dxa"/>
            <w:vAlign w:val="center"/>
          </w:tcPr>
          <w:p w:rsidR="005005BC" w:rsidRPr="00D60728" w:rsidRDefault="005005BC"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5005BC" w:rsidRPr="00D60728" w:rsidRDefault="005005BC"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izvještaji HERA-e</w:t>
            </w:r>
          </w:p>
        </w:tc>
      </w:tr>
    </w:tbl>
    <w:p w:rsidR="00A50A73" w:rsidRPr="00D60728" w:rsidRDefault="00A50A73" w:rsidP="00BF7DCC">
      <w:pPr>
        <w:spacing w:line="240" w:lineRule="auto"/>
        <w:rPr>
          <w:sz w:val="20"/>
          <w:szCs w:val="20"/>
        </w:rPr>
      </w:pPr>
    </w:p>
    <w:p w:rsidR="005005BC" w:rsidRPr="00D60728" w:rsidRDefault="005005BC"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A50A73" w:rsidRPr="00707212" w:rsidTr="005005BC">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Uvođenje naprednih sustava mjerenja potrošnje i upravljanja mjernim podacima</w:t>
            </w:r>
          </w:p>
        </w:tc>
      </w:tr>
      <w:tr w:rsidR="00A50A73" w:rsidRPr="00D60728" w:rsidTr="005005BC">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MEN-3</w:t>
            </w:r>
            <w:r w:rsidR="00F6429C" w:rsidRPr="00D60728">
              <w:rPr>
                <w:rFonts w:ascii="Times New Roman" w:hAnsi="Times New Roman"/>
                <w:i/>
                <w:iCs/>
                <w:sz w:val="20"/>
                <w:szCs w:val="20"/>
              </w:rPr>
              <w:t>0</w:t>
            </w:r>
          </w:p>
        </w:tc>
      </w:tr>
      <w:tr w:rsidR="00A50A73" w:rsidRPr="00D60728" w:rsidTr="005005BC">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shd w:val="clear" w:color="auto" w:fill="auto"/>
            <w:vAlign w:val="center"/>
          </w:tcPr>
          <w:p w:rsidR="00A50A73" w:rsidRPr="00D60728" w:rsidRDefault="00F6429C"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A50A73" w:rsidRPr="00D60728" w:rsidTr="005005B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shd w:val="clear" w:color="auto" w:fill="auto"/>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F6429C" w:rsidRPr="00D60728">
              <w:rPr>
                <w:rFonts w:ascii="Times New Roman" w:hAnsi="Times New Roman"/>
                <w:i/>
                <w:iCs/>
                <w:sz w:val="20"/>
                <w:szCs w:val="20"/>
              </w:rPr>
              <w:t>21.</w:t>
            </w:r>
          </w:p>
        </w:tc>
      </w:tr>
      <w:tr w:rsidR="00A50A73" w:rsidRPr="00D60728" w:rsidTr="005005B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shd w:val="clear" w:color="auto" w:fill="auto"/>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F6429C" w:rsidRPr="00D60728">
              <w:rPr>
                <w:rFonts w:ascii="Times New Roman" w:hAnsi="Times New Roman"/>
                <w:i/>
                <w:iCs/>
                <w:sz w:val="20"/>
                <w:szCs w:val="20"/>
              </w:rPr>
              <w:t>24.</w:t>
            </w:r>
          </w:p>
        </w:tc>
      </w:tr>
      <w:tr w:rsidR="005005BC" w:rsidRPr="00D60728" w:rsidTr="005005BC">
        <w:trPr>
          <w:trHeight w:val="1594"/>
        </w:trPr>
        <w:tc>
          <w:tcPr>
            <w:tcW w:w="1129" w:type="dxa"/>
            <w:vMerge/>
            <w:vAlign w:val="center"/>
            <w:hideMark/>
          </w:tcPr>
          <w:p w:rsidR="005005BC" w:rsidRPr="00D60728" w:rsidRDefault="005005BC" w:rsidP="00BF7DCC">
            <w:pPr>
              <w:spacing w:line="240" w:lineRule="auto"/>
              <w:jc w:val="left"/>
              <w:rPr>
                <w:rFonts w:ascii="Times New Roman" w:hAnsi="Times New Roman"/>
                <w:sz w:val="20"/>
                <w:szCs w:val="20"/>
              </w:rPr>
            </w:pPr>
          </w:p>
        </w:tc>
        <w:tc>
          <w:tcPr>
            <w:tcW w:w="1418" w:type="dxa"/>
            <w:vAlign w:val="center"/>
            <w:hideMark/>
          </w:tcPr>
          <w:p w:rsidR="005005BC" w:rsidRPr="00D60728" w:rsidRDefault="005005BC"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5005BC" w:rsidRPr="00D60728" w:rsidRDefault="005005BC" w:rsidP="00BF7DCC">
            <w:pPr>
              <w:spacing w:line="240" w:lineRule="auto"/>
              <w:rPr>
                <w:rFonts w:ascii="Times New Roman" w:hAnsi="Times New Roman"/>
                <w:i/>
                <w:iCs/>
                <w:sz w:val="20"/>
                <w:szCs w:val="20"/>
              </w:rPr>
            </w:pPr>
            <w:r w:rsidRPr="00D60728">
              <w:rPr>
                <w:rFonts w:ascii="Times New Roman" w:hAnsi="Times New Roman"/>
                <w:i/>
                <w:iCs/>
                <w:sz w:val="20"/>
                <w:szCs w:val="20"/>
              </w:rPr>
              <w:t>Kako bi se omogućio daljnji razvoj energetskih tržišta i aktivna uloga kupaca energije na energetskim tržištima, planira se uvođenje naprednih mjernih uređaja i sustava na razini potrošnje.</w:t>
            </w:r>
          </w:p>
        </w:tc>
      </w:tr>
    </w:tbl>
    <w:p w:rsidR="00A50A73" w:rsidRPr="00D60728" w:rsidRDefault="00A50A73" w:rsidP="00BF7DCC">
      <w:pPr>
        <w:spacing w:line="240" w:lineRule="auto"/>
        <w:rPr>
          <w:sz w:val="20"/>
          <w:szCs w:val="20"/>
        </w:rPr>
      </w:pPr>
    </w:p>
    <w:p w:rsidR="00A50A73" w:rsidRPr="00D60728" w:rsidRDefault="00A50A73" w:rsidP="00BF7DCC">
      <w:pPr>
        <w:spacing w:line="240" w:lineRule="auto"/>
        <w:rPr>
          <w:sz w:val="20"/>
          <w:szCs w:val="20"/>
        </w:rPr>
      </w:pPr>
    </w:p>
    <w:p w:rsidR="00A50A73" w:rsidRPr="00D60728" w:rsidRDefault="00A50A73" w:rsidP="00BF7DCC">
      <w:pPr>
        <w:pStyle w:val="Caption"/>
        <w:keepNext/>
        <w:spacing w:after="0" w:line="240" w:lineRule="auto"/>
        <w:rPr>
          <w:sz w:val="20"/>
          <w:szCs w:val="20"/>
        </w:rPr>
      </w:pPr>
    </w:p>
    <w:p w:rsidR="00E86CBF" w:rsidRPr="00D60728" w:rsidRDefault="00E86CBF" w:rsidP="00BF7DCC">
      <w:pPr>
        <w:spacing w:line="240" w:lineRule="auto"/>
        <w:rPr>
          <w:sz w:val="20"/>
          <w:szCs w:val="20"/>
        </w:rPr>
      </w:pPr>
      <w:r w:rsidRPr="00D60728">
        <w:rPr>
          <w:sz w:val="20"/>
          <w:szCs w:val="20"/>
        </w:rPr>
        <w:br w:type="page"/>
      </w:r>
    </w:p>
    <w:tbl>
      <w:tblPr>
        <w:tblStyle w:val="TableGrid"/>
        <w:tblW w:w="9175" w:type="dxa"/>
        <w:tblLayout w:type="fixed"/>
        <w:tblLook w:val="04A0" w:firstRow="1" w:lastRow="0" w:firstColumn="1" w:lastColumn="0" w:noHBand="0" w:noVBand="1"/>
      </w:tblPr>
      <w:tblGrid>
        <w:gridCol w:w="1129"/>
        <w:gridCol w:w="1418"/>
        <w:gridCol w:w="6628"/>
      </w:tblGrid>
      <w:tr w:rsidR="00A50A73" w:rsidRPr="00707212" w:rsidTr="00F6429C">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A50A73" w:rsidRPr="00707212" w:rsidRDefault="00A50A73" w:rsidP="00707212">
            <w:pPr>
              <w:spacing w:line="240" w:lineRule="auto"/>
              <w:ind w:right="57"/>
              <w:jc w:val="left"/>
              <w:rPr>
                <w:rFonts w:ascii="Times New Roman" w:hAnsi="Times New Roman"/>
                <w:b/>
                <w:i/>
                <w:iCs/>
              </w:rPr>
            </w:pPr>
            <w:r w:rsidRPr="00707212">
              <w:rPr>
                <w:rFonts w:ascii="Times New Roman" w:hAnsi="Times New Roman"/>
                <w:b/>
                <w:i/>
                <w:iCs/>
              </w:rPr>
              <w:t>Usvajanje i provedba Programa suzbijanja energetskog siromaštva</w:t>
            </w:r>
          </w:p>
        </w:tc>
      </w:tr>
      <w:tr w:rsidR="00A50A73" w:rsidRPr="00D60728" w:rsidTr="00F6429C">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MEN-3</w:t>
            </w:r>
            <w:r w:rsidR="00F6429C" w:rsidRPr="00D60728">
              <w:rPr>
                <w:rFonts w:ascii="Times New Roman" w:hAnsi="Times New Roman"/>
                <w:i/>
                <w:iCs/>
                <w:sz w:val="20"/>
                <w:szCs w:val="20"/>
              </w:rPr>
              <w:t>1</w:t>
            </w:r>
          </w:p>
        </w:tc>
      </w:tr>
      <w:tr w:rsidR="00A50A73" w:rsidRPr="00D60728" w:rsidTr="00F6429C">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Informativna i financijska mjera</w:t>
            </w:r>
          </w:p>
        </w:tc>
      </w:tr>
      <w:tr w:rsidR="00A50A73" w:rsidRPr="00D60728" w:rsidTr="00F6429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A50A73" w:rsidRPr="00D60728" w:rsidTr="00F6429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2030.</w:t>
            </w:r>
          </w:p>
        </w:tc>
      </w:tr>
      <w:tr w:rsidR="00540666" w:rsidRPr="00D60728" w:rsidTr="00F6429C">
        <w:trPr>
          <w:trHeight w:val="794"/>
        </w:trPr>
        <w:tc>
          <w:tcPr>
            <w:tcW w:w="1129" w:type="dxa"/>
            <w:vMerge/>
            <w:vAlign w:val="center"/>
            <w:hideMark/>
          </w:tcPr>
          <w:p w:rsidR="00540666" w:rsidRPr="00D60728" w:rsidRDefault="00540666" w:rsidP="00BF7DCC">
            <w:pPr>
              <w:spacing w:line="240" w:lineRule="auto"/>
              <w:jc w:val="left"/>
              <w:rPr>
                <w:rFonts w:ascii="Times New Roman" w:hAnsi="Times New Roman"/>
                <w:sz w:val="20"/>
                <w:szCs w:val="20"/>
              </w:rPr>
            </w:pPr>
          </w:p>
        </w:tc>
        <w:tc>
          <w:tcPr>
            <w:tcW w:w="1418" w:type="dxa"/>
            <w:vAlign w:val="center"/>
            <w:hideMark/>
          </w:tcPr>
          <w:p w:rsidR="00540666" w:rsidRPr="00D60728" w:rsidRDefault="00540666"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vAlign w:val="center"/>
          </w:tcPr>
          <w:p w:rsidR="00540666" w:rsidRPr="00D60728" w:rsidRDefault="00540666" w:rsidP="00BF7DCC">
            <w:pPr>
              <w:pStyle w:val="ListParagraph"/>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ublažavanje energetskog siromaštva i stupnja ugroženosti njime;</w:t>
            </w:r>
          </w:p>
          <w:p w:rsidR="00540666" w:rsidRPr="00D60728" w:rsidRDefault="00540666" w:rsidP="00BF7DCC">
            <w:pPr>
              <w:pStyle w:val="ListParagraph"/>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 xml:space="preserve"> uspostava sustava praćenja energetskog siromaštva</w:t>
            </w:r>
          </w:p>
        </w:tc>
      </w:tr>
      <w:tr w:rsidR="00A50A73" w:rsidRPr="00D60728" w:rsidTr="00F6429C">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A50A73" w:rsidRPr="00D60728" w:rsidRDefault="00A50A73" w:rsidP="00BF7DCC">
            <w:pPr>
              <w:pStyle w:val="ListParagraph"/>
              <w:numPr>
                <w:ilvl w:val="0"/>
                <w:numId w:val="70"/>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U okviru Programa suzbijanja energetskog siromaštva, nastavit će se s izgradnjom kapaciteta putem lokalnih info-centara te će se energetski siromašnim građanima kao i građanima u riziku od energetskog siromaštva osigurati adekvatne informacije i savjeti, o mjerama energetske učinkovitosti koje doprinose suzbijanju energetskog siromaštva, kao i o mogućnostima sufinanciranja aktivnosti na tom polju;</w:t>
            </w:r>
          </w:p>
          <w:p w:rsidR="00A50A73" w:rsidRPr="00D60728" w:rsidRDefault="00A50A73" w:rsidP="00BF7DCC">
            <w:pPr>
              <w:pStyle w:val="ListParagraph"/>
              <w:numPr>
                <w:ilvl w:val="0"/>
                <w:numId w:val="70"/>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identificirat će se indikatori nužni za praćenje energetskog siromaštva te će se uspostaviti sustav njihovog praćenja, kroz već postojeći sustav prikupljanja podataka o potrošnji i navikama kućanstava (Državni zavod za statistiku);</w:t>
            </w:r>
          </w:p>
          <w:p w:rsidR="00A50A73" w:rsidRPr="00D60728" w:rsidRDefault="00A50A73" w:rsidP="00BF7DCC">
            <w:pPr>
              <w:pStyle w:val="ListParagraph"/>
              <w:numPr>
                <w:ilvl w:val="0"/>
                <w:numId w:val="70"/>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na temelju podataka analizirat će se moguće proširenje kriterija za stjecanje statusa ugroženih kupaca energije;</w:t>
            </w:r>
          </w:p>
          <w:p w:rsidR="00A50A73" w:rsidRPr="00D60728" w:rsidRDefault="00A50A73" w:rsidP="00BF7DCC">
            <w:pPr>
              <w:pStyle w:val="ListParagraph"/>
              <w:numPr>
                <w:ilvl w:val="0"/>
                <w:numId w:val="70"/>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sufinancirat će se provedba mjera energetske učinkovitosti u energetski siromašnim kućanstvima, primjerice zamjena kućanskih uređaja po sistemu „staro za novo“, unaprjeđenje ili zamjena sustava grijanja (poboljšanja učinkovitosti sustava grijanja i zamjene energenata (naročito električne energije i loživog ulja) okolišno, ekonomski i energetski povoljnijima, a poglavito sustavima koji koriste obnovljive izvore energije te provedba drugih tehničkih mjera energetske učinkovitosti;</w:t>
            </w:r>
          </w:p>
          <w:p w:rsidR="00A50A73" w:rsidRPr="00D60728" w:rsidRDefault="00A50A73" w:rsidP="00BF7DCC">
            <w:pPr>
              <w:pStyle w:val="ListParagraph"/>
              <w:numPr>
                <w:ilvl w:val="0"/>
                <w:numId w:val="70"/>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Programom će se detaljno razraditi navedene mjere te prema potrebi osmisliti i druge mjere, kao i mogućnost njihove provedbe u okviru sustava obveze energetske učinkovitosti za opskrbljivače;</w:t>
            </w:r>
          </w:p>
          <w:p w:rsidR="00A50A73" w:rsidRPr="00D60728" w:rsidRDefault="00A50A73" w:rsidP="00BF7DCC">
            <w:pPr>
              <w:pStyle w:val="ListParagraph"/>
              <w:numPr>
                <w:ilvl w:val="0"/>
                <w:numId w:val="70"/>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u Dugoročnoj strategiji energetske obnove zgrada do 2050. godine bit će dane mjere za suzbijanje energetskog siromaštva kroz energetsku obnovu zgrada kao i kriteriji za određivanje ranjivih skupina građana ugroženih od energetskog siromaštva. Navedene mjere bit će dodatno razrađene u Programu energetske obnove višestambenih zgrada za razdoblje 2021.-2030. i u Programu energetske obnove obiteljskih kuća za razdoblje 2021.-2030.</w:t>
            </w:r>
          </w:p>
        </w:tc>
      </w:tr>
      <w:tr w:rsidR="00540666" w:rsidRPr="00D60728" w:rsidTr="00F6429C">
        <w:trPr>
          <w:trHeight w:val="964"/>
        </w:trPr>
        <w:tc>
          <w:tcPr>
            <w:tcW w:w="1129" w:type="dxa"/>
            <w:vMerge/>
            <w:vAlign w:val="center"/>
            <w:hideMark/>
          </w:tcPr>
          <w:p w:rsidR="00540666" w:rsidRPr="00D60728" w:rsidRDefault="00540666" w:rsidP="00BF7DCC">
            <w:pPr>
              <w:spacing w:line="240" w:lineRule="auto"/>
              <w:jc w:val="left"/>
              <w:rPr>
                <w:rFonts w:ascii="Times New Roman" w:hAnsi="Times New Roman"/>
                <w:sz w:val="20"/>
                <w:szCs w:val="20"/>
              </w:rPr>
            </w:pPr>
          </w:p>
        </w:tc>
        <w:tc>
          <w:tcPr>
            <w:tcW w:w="1418" w:type="dxa"/>
            <w:vAlign w:val="center"/>
            <w:hideMark/>
          </w:tcPr>
          <w:p w:rsidR="00540666" w:rsidRPr="00D60728" w:rsidRDefault="00540666"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540666" w:rsidRPr="00D60728" w:rsidRDefault="00540666"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p w:rsidR="00540666" w:rsidRPr="00D60728" w:rsidRDefault="00540666" w:rsidP="00BF7DCC">
            <w:pPr>
              <w:spacing w:line="240" w:lineRule="auto"/>
              <w:rPr>
                <w:rFonts w:ascii="Times New Roman" w:hAnsi="Times New Roman"/>
                <w:i/>
                <w:iCs/>
                <w:sz w:val="20"/>
                <w:szCs w:val="20"/>
              </w:rPr>
            </w:pPr>
            <w:r w:rsidRPr="00D60728">
              <w:rPr>
                <w:rFonts w:ascii="Times New Roman" w:hAnsi="Times New Roman"/>
                <w:i/>
                <w:iCs/>
                <w:sz w:val="20"/>
                <w:szCs w:val="20"/>
              </w:rPr>
              <w:t>MDOMSP</w:t>
            </w:r>
          </w:p>
          <w:p w:rsidR="00540666" w:rsidRPr="00D60728" w:rsidRDefault="00540666" w:rsidP="00BF7DCC">
            <w:pPr>
              <w:spacing w:line="240" w:lineRule="auto"/>
              <w:rPr>
                <w:rFonts w:ascii="Times New Roman" w:hAnsi="Times New Roman"/>
                <w:i/>
                <w:iCs/>
                <w:sz w:val="20"/>
                <w:szCs w:val="20"/>
              </w:rPr>
            </w:pPr>
            <w:r w:rsidRPr="00D60728">
              <w:rPr>
                <w:rFonts w:ascii="Times New Roman" w:hAnsi="Times New Roman"/>
                <w:i/>
                <w:iCs/>
                <w:sz w:val="20"/>
                <w:szCs w:val="20"/>
              </w:rPr>
              <w:t>DZS</w:t>
            </w:r>
          </w:p>
        </w:tc>
      </w:tr>
      <w:tr w:rsidR="00A50A73" w:rsidRPr="00D60728" w:rsidTr="00F6429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A50A73" w:rsidRPr="00D60728" w:rsidRDefault="00A50A7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Sredstva obveznika sustava obveze energetske učinkovitosti, EU fondovi</w:t>
            </w:r>
          </w:p>
        </w:tc>
      </w:tr>
      <w:tr w:rsidR="00A50A73" w:rsidRPr="00D60728" w:rsidTr="00F6429C">
        <w:trPr>
          <w:trHeight w:val="147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A50A73" w:rsidRPr="00D60728" w:rsidRDefault="00A50A73"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uspostava sustava za praćenje energetskog siromaštva i ugroženosti njime; </w:t>
            </w:r>
          </w:p>
          <w:p w:rsidR="00A50A73" w:rsidRPr="00D60728" w:rsidRDefault="00A50A73"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izgradnja kapaciteta za ublažavanje energetskog siromaštva; </w:t>
            </w:r>
          </w:p>
          <w:p w:rsidR="00A50A73" w:rsidRPr="00D60728" w:rsidRDefault="00A50A73"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uspostava modela za podmirivanje troškova za energiju; </w:t>
            </w:r>
          </w:p>
          <w:p w:rsidR="00A50A73" w:rsidRPr="00D60728" w:rsidRDefault="00A50A73"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neposredne potrošnje energije i posljedično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energetski siromašnim kućanstvima i kućanstvima ugroženima njime.</w:t>
            </w:r>
          </w:p>
        </w:tc>
      </w:tr>
      <w:tr w:rsidR="00A50A73" w:rsidRPr="00D60728" w:rsidTr="00F6429C">
        <w:trPr>
          <w:trHeight w:val="1020"/>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A50A73" w:rsidRPr="00D60728" w:rsidRDefault="00A50A73"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Publikacije DZS; Ostvarene uštede prate se i dokazuju korištenjem metoda odozdo-prema-gore prema Pravilniku o sustavu za praćenje, mjerenje i verifikaciju ušteda energije</w:t>
            </w:r>
          </w:p>
        </w:tc>
      </w:tr>
    </w:tbl>
    <w:p w:rsidR="00A50A73" w:rsidRPr="00D60728" w:rsidRDefault="00A50A73" w:rsidP="00BF7DCC">
      <w:pPr>
        <w:spacing w:line="240" w:lineRule="auto"/>
        <w:rPr>
          <w:sz w:val="20"/>
          <w:szCs w:val="20"/>
        </w:rPr>
      </w:pPr>
    </w:p>
    <w:p w:rsidR="00A50A73" w:rsidRPr="00D60728" w:rsidRDefault="00A50A73" w:rsidP="00BF7DCC">
      <w:pPr>
        <w:spacing w:line="240" w:lineRule="auto"/>
        <w:rPr>
          <w:sz w:val="20"/>
          <w:szCs w:val="20"/>
        </w:rPr>
      </w:pPr>
    </w:p>
    <w:p w:rsidR="00E667C3" w:rsidRPr="00D60728" w:rsidRDefault="00E667C3" w:rsidP="00BF7DCC">
      <w:pPr>
        <w:pStyle w:val="Heading3"/>
        <w:spacing w:before="0" w:line="240" w:lineRule="auto"/>
        <w:rPr>
          <w:rFonts w:ascii="Times New Roman" w:hAnsi="Times New Roman" w:cs="Times New Roman"/>
        </w:rPr>
      </w:pPr>
      <w:bookmarkStart w:id="22" w:name="_Toc34147570"/>
      <w:bookmarkStart w:id="23" w:name="_Toc24621596"/>
      <w:bookmarkStart w:id="24" w:name="_Toc24632359"/>
      <w:bookmarkStart w:id="25" w:name="_Toc24634709"/>
      <w:bookmarkStart w:id="26" w:name="_Toc24702449"/>
      <w:r w:rsidRPr="00D60728">
        <w:rPr>
          <w:rFonts w:ascii="Times New Roman" w:hAnsi="Times New Roman" w:cs="Times New Roman"/>
        </w:rPr>
        <w:t>3.3.2.</w:t>
      </w:r>
      <w:r w:rsidRPr="00D60728">
        <w:rPr>
          <w:rFonts w:ascii="Times New Roman" w:hAnsi="Times New Roman" w:cs="Times New Roman"/>
        </w:rPr>
        <w:tab/>
        <w:t>Promet</w:t>
      </w:r>
      <w:bookmarkEnd w:id="22"/>
    </w:p>
    <w:p w:rsidR="00D60728" w:rsidRPr="00D60728" w:rsidRDefault="00D60728" w:rsidP="00BF7DCC">
      <w:pPr>
        <w:spacing w:line="240" w:lineRule="auto"/>
      </w:pPr>
    </w:p>
    <w:tbl>
      <w:tblPr>
        <w:tblStyle w:val="TableGrid"/>
        <w:tblW w:w="9175" w:type="dxa"/>
        <w:tblLayout w:type="fixed"/>
        <w:tblLook w:val="04A0" w:firstRow="1" w:lastRow="0" w:firstColumn="1" w:lastColumn="0" w:noHBand="0" w:noVBand="1"/>
      </w:tblPr>
      <w:tblGrid>
        <w:gridCol w:w="1129"/>
        <w:gridCol w:w="1418"/>
        <w:gridCol w:w="6628"/>
      </w:tblGrid>
      <w:tr w:rsidR="00D60728" w:rsidRPr="00707212" w:rsidTr="004167C4">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Informiranje potrošača o ekonomičnosti potrošnje goriva i emisiji CO</w:t>
            </w:r>
            <w:r w:rsidRPr="00707212">
              <w:rPr>
                <w:rFonts w:ascii="Times New Roman" w:hAnsi="Times New Roman"/>
                <w:b/>
                <w:i/>
                <w:iCs/>
                <w:vertAlign w:val="subscript"/>
              </w:rPr>
              <w:t>2</w:t>
            </w:r>
            <w:r w:rsidRPr="00707212">
              <w:rPr>
                <w:rFonts w:ascii="Times New Roman" w:hAnsi="Times New Roman"/>
                <w:b/>
                <w:i/>
                <w:iCs/>
              </w:rPr>
              <w:t xml:space="preserve"> novih osobnih automobila</w:t>
            </w:r>
          </w:p>
        </w:tc>
      </w:tr>
      <w:tr w:rsidR="00D60728" w:rsidRPr="00D60728" w:rsidTr="004167C4">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MTR-1</w:t>
            </w:r>
          </w:p>
        </w:tc>
      </w:tr>
      <w:tr w:rsidR="00D60728" w:rsidRPr="00D60728" w:rsidTr="004167C4">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D60728" w:rsidRPr="00D60728" w:rsidTr="00510A6C">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shd w:val="clear" w:color="auto" w:fill="auto"/>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4167C4">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510A6C">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shd w:val="clear" w:color="auto" w:fill="auto"/>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4167C4">
              <w:rPr>
                <w:rFonts w:ascii="Times New Roman" w:hAnsi="Times New Roman"/>
                <w:i/>
                <w:iCs/>
                <w:sz w:val="20"/>
                <w:szCs w:val="20"/>
              </w:rPr>
              <w:t>24</w:t>
            </w:r>
            <w:r w:rsidRPr="00D60728">
              <w:rPr>
                <w:rFonts w:ascii="Times New Roman" w:hAnsi="Times New Roman"/>
                <w:i/>
                <w:iCs/>
                <w:sz w:val="20"/>
                <w:szCs w:val="20"/>
              </w:rPr>
              <w:t>.</w:t>
            </w:r>
          </w:p>
        </w:tc>
      </w:tr>
      <w:tr w:rsidR="004167C4" w:rsidRPr="00D60728" w:rsidTr="00510A6C">
        <w:trPr>
          <w:trHeight w:val="2948"/>
        </w:trPr>
        <w:tc>
          <w:tcPr>
            <w:tcW w:w="1129" w:type="dxa"/>
            <w:vMerge/>
            <w:vAlign w:val="center"/>
            <w:hideMark/>
          </w:tcPr>
          <w:p w:rsidR="004167C4" w:rsidRPr="00D60728" w:rsidRDefault="004167C4" w:rsidP="00BF7DCC">
            <w:pPr>
              <w:spacing w:line="240" w:lineRule="auto"/>
              <w:jc w:val="left"/>
              <w:rPr>
                <w:rFonts w:ascii="Times New Roman" w:hAnsi="Times New Roman"/>
                <w:sz w:val="20"/>
                <w:szCs w:val="20"/>
              </w:rPr>
            </w:pPr>
          </w:p>
        </w:tc>
        <w:tc>
          <w:tcPr>
            <w:tcW w:w="1418" w:type="dxa"/>
            <w:vAlign w:val="center"/>
          </w:tcPr>
          <w:p w:rsidR="004167C4" w:rsidRPr="00D60728" w:rsidRDefault="004167C4" w:rsidP="00BF7DCC">
            <w:pPr>
              <w:spacing w:line="240" w:lineRule="auto"/>
              <w:jc w:val="left"/>
              <w:rPr>
                <w:rFonts w:ascii="Times New Roman" w:hAnsi="Times New Roman"/>
                <w:sz w:val="20"/>
                <w:szCs w:val="20"/>
              </w:rPr>
            </w:pPr>
            <w:r>
              <w:rPr>
                <w:rFonts w:ascii="Times New Roman" w:hAnsi="Times New Roman"/>
                <w:sz w:val="20"/>
                <w:szCs w:val="20"/>
              </w:rPr>
              <w:t>Cilj i o</w:t>
            </w:r>
            <w:r w:rsidRPr="00D60728">
              <w:rPr>
                <w:rFonts w:ascii="Times New Roman" w:hAnsi="Times New Roman"/>
                <w:sz w:val="20"/>
                <w:szCs w:val="20"/>
              </w:rPr>
              <w:t>pis</w:t>
            </w:r>
          </w:p>
        </w:tc>
        <w:tc>
          <w:tcPr>
            <w:tcW w:w="6628" w:type="dxa"/>
            <w:shd w:val="clear" w:color="auto" w:fill="auto"/>
            <w:vAlign w:val="center"/>
          </w:tcPr>
          <w:p w:rsidR="004167C4" w:rsidRPr="00D60728" w:rsidRDefault="004167C4" w:rsidP="00BF7DCC">
            <w:pPr>
              <w:spacing w:line="240" w:lineRule="auto"/>
              <w:rPr>
                <w:rFonts w:ascii="Times New Roman" w:hAnsi="Times New Roman"/>
                <w:i/>
                <w:iCs/>
                <w:sz w:val="20"/>
                <w:szCs w:val="20"/>
              </w:rPr>
            </w:pPr>
            <w:r w:rsidRPr="00D60728">
              <w:rPr>
                <w:rFonts w:ascii="Times New Roman" w:hAnsi="Times New Roman"/>
                <w:i/>
                <w:iCs/>
                <w:sz w:val="20"/>
                <w:szCs w:val="20"/>
              </w:rPr>
              <w:t>Sukladno Pravilniku o dostupnosti podataka o ekonomičnosti potrošnje goriva i emisiji CO2 iz novih putničkih vozila (NN 7/15) svaki dobavljač novih osobnih vozila namijenjenih prodaji dužan je omogućiti potrošačima dostupne informacije o razini potrošnje goriva i specifičnoj emisiji CO2 putničkih vozila. Ministarstvo unutarnjih poslova, kao središnje tijelo državne uprave nadležno za sigurnost cestovnog prometa, na osnovi Pravilnika jedanput godišnje, najkasnije do 31. ožujka tekuće godine izrađuje Vodič o ekonomičnosti potrošnje goriva i emisiji CO2 novih osobnih automobila koji su dostupni za kupovinu na tržištu u Republici Hrvatskoj. Vodič sadrži potrebne podatke za svaki model novih osobnih automobila dostupnih na domaćem tržištu.</w:t>
            </w:r>
          </w:p>
        </w:tc>
      </w:tr>
      <w:tr w:rsidR="00D60728" w:rsidRPr="00D60728" w:rsidTr="00510A6C">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D60728" w:rsidRPr="00D60728" w:rsidRDefault="00D60728"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Proširenje informiranja i na ostale kategorije motornih cestovnih vozila.</w:t>
            </w:r>
          </w:p>
        </w:tc>
      </w:tr>
      <w:tr w:rsidR="004167C4" w:rsidRPr="00D60728" w:rsidTr="004167C4">
        <w:trPr>
          <w:trHeight w:val="680"/>
        </w:trPr>
        <w:tc>
          <w:tcPr>
            <w:tcW w:w="1129" w:type="dxa"/>
            <w:vMerge/>
            <w:vAlign w:val="center"/>
            <w:hideMark/>
          </w:tcPr>
          <w:p w:rsidR="004167C4" w:rsidRPr="00D60728" w:rsidRDefault="004167C4" w:rsidP="00BF7DCC">
            <w:pPr>
              <w:spacing w:line="240" w:lineRule="auto"/>
              <w:jc w:val="left"/>
              <w:rPr>
                <w:rFonts w:ascii="Times New Roman" w:hAnsi="Times New Roman"/>
                <w:sz w:val="20"/>
                <w:szCs w:val="20"/>
              </w:rPr>
            </w:pPr>
          </w:p>
        </w:tc>
        <w:tc>
          <w:tcPr>
            <w:tcW w:w="1418" w:type="dxa"/>
            <w:vAlign w:val="center"/>
            <w:hideMark/>
          </w:tcPr>
          <w:p w:rsidR="004167C4" w:rsidRPr="00D60728" w:rsidRDefault="004167C4"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4167C4" w:rsidRPr="00D60728" w:rsidRDefault="004167C4" w:rsidP="00BF7DCC">
            <w:pPr>
              <w:spacing w:line="240" w:lineRule="auto"/>
              <w:rPr>
                <w:rFonts w:ascii="Times New Roman" w:hAnsi="Times New Roman"/>
                <w:i/>
                <w:iCs/>
                <w:sz w:val="20"/>
                <w:szCs w:val="20"/>
              </w:rPr>
            </w:pPr>
            <w:r w:rsidRPr="00D60728">
              <w:rPr>
                <w:rFonts w:ascii="Times New Roman" w:hAnsi="Times New Roman"/>
                <w:i/>
                <w:iCs/>
                <w:sz w:val="20"/>
                <w:szCs w:val="20"/>
              </w:rPr>
              <w:t>MUP</w:t>
            </w:r>
          </w:p>
        </w:tc>
      </w:tr>
      <w:tr w:rsidR="00D60728" w:rsidRPr="00D60728" w:rsidTr="004167C4">
        <w:trPr>
          <w:trHeight w:val="1020"/>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Financijska sredstva za provedbu ovih aktivnosti planira MUP u okviru svojih godišnjih proračuna, kao sastavni dio svojih redovnih aktivnosti</w:t>
            </w:r>
          </w:p>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(MUP)</w:t>
            </w:r>
          </w:p>
        </w:tc>
      </w:tr>
      <w:tr w:rsidR="004167C4" w:rsidRPr="00D60728" w:rsidTr="004167C4">
        <w:trPr>
          <w:trHeight w:val="907"/>
        </w:trPr>
        <w:tc>
          <w:tcPr>
            <w:tcW w:w="1129" w:type="dxa"/>
            <w:vAlign w:val="center"/>
            <w:hideMark/>
          </w:tcPr>
          <w:p w:rsidR="004167C4" w:rsidRPr="00D60728" w:rsidRDefault="004167C4"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4167C4" w:rsidRPr="00D60728" w:rsidRDefault="004167C4"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4167C4" w:rsidRPr="00D60728" w:rsidRDefault="004167C4"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Pr>
                <w:rFonts w:ascii="Times New Roman" w:hAnsi="Times New Roman"/>
                <w:i/>
                <w:iCs/>
                <w:sz w:val="20"/>
                <w:szCs w:val="20"/>
              </w:rPr>
              <w:t>u</w:t>
            </w:r>
            <w:r w:rsidRPr="00D60728">
              <w:rPr>
                <w:rFonts w:ascii="Times New Roman" w:hAnsi="Times New Roman"/>
                <w:i/>
                <w:iCs/>
                <w:sz w:val="20"/>
                <w:szCs w:val="20"/>
              </w:rPr>
              <w:t xml:space="preserve">šteda energije, </w:t>
            </w:r>
          </w:p>
          <w:p w:rsidR="004167C4" w:rsidRPr="00D60728" w:rsidRDefault="004167C4"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emisije 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p w:rsidR="004167C4" w:rsidRPr="00D60728" w:rsidRDefault="004167C4"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emisija onečišćujućih tvari.</w:t>
            </w:r>
          </w:p>
        </w:tc>
      </w:tr>
    </w:tbl>
    <w:p w:rsidR="00D60728" w:rsidRPr="00D60728" w:rsidRDefault="00D60728" w:rsidP="00BF7DCC">
      <w:pPr>
        <w:spacing w:line="240" w:lineRule="auto"/>
      </w:pPr>
    </w:p>
    <w:p w:rsidR="00D60728" w:rsidRPr="00D60728" w:rsidRDefault="00D60728" w:rsidP="00BF7DCC">
      <w:pPr>
        <w:spacing w:line="240" w:lineRule="auto"/>
      </w:pPr>
    </w:p>
    <w:p w:rsidR="00D60728" w:rsidRPr="00D60728" w:rsidRDefault="00D60728" w:rsidP="00BF7DCC">
      <w:pPr>
        <w:pStyle w:val="Caption"/>
        <w:keepNext/>
        <w:spacing w:after="0" w:line="240" w:lineRule="auto"/>
      </w:pPr>
    </w:p>
    <w:p w:rsidR="004167C4" w:rsidRDefault="004167C4" w:rsidP="00BF7DCC">
      <w:pPr>
        <w:spacing w:line="240" w:lineRule="auto"/>
      </w:pPr>
      <w:r>
        <w:br w:type="page"/>
      </w:r>
    </w:p>
    <w:tbl>
      <w:tblPr>
        <w:tblStyle w:val="TableGrid"/>
        <w:tblW w:w="9175" w:type="dxa"/>
        <w:tblLayout w:type="fixed"/>
        <w:tblLook w:val="04A0" w:firstRow="1" w:lastRow="0" w:firstColumn="1" w:lastColumn="0" w:noHBand="0" w:noVBand="1"/>
      </w:tblPr>
      <w:tblGrid>
        <w:gridCol w:w="1129"/>
        <w:gridCol w:w="1418"/>
        <w:gridCol w:w="6628"/>
      </w:tblGrid>
      <w:tr w:rsidR="00D60728" w:rsidRPr="00707212" w:rsidTr="004167C4">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Posebna naknada za okoliš za vozila na motorni pogon</w:t>
            </w:r>
          </w:p>
        </w:tc>
      </w:tr>
      <w:tr w:rsidR="00D60728" w:rsidRPr="00D60728" w:rsidTr="004167C4">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MTR-2</w:t>
            </w:r>
          </w:p>
        </w:tc>
      </w:tr>
      <w:tr w:rsidR="00D60728" w:rsidRPr="00D60728" w:rsidTr="004167C4">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shd w:val="clear" w:color="auto" w:fill="auto"/>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parafiskalna mjera</w:t>
            </w:r>
          </w:p>
        </w:tc>
      </w:tr>
      <w:tr w:rsidR="00D60728" w:rsidRPr="00D60728" w:rsidTr="004167C4">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shd w:val="clear" w:color="auto" w:fill="auto"/>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4167C4">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4167C4">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shd w:val="clear" w:color="auto" w:fill="auto"/>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4167C4">
              <w:rPr>
                <w:rFonts w:ascii="Times New Roman" w:hAnsi="Times New Roman"/>
                <w:i/>
                <w:iCs/>
                <w:sz w:val="20"/>
                <w:szCs w:val="20"/>
              </w:rPr>
              <w:t>24</w:t>
            </w:r>
            <w:r w:rsidRPr="00D60728">
              <w:rPr>
                <w:rFonts w:ascii="Times New Roman" w:hAnsi="Times New Roman"/>
                <w:i/>
                <w:iCs/>
                <w:sz w:val="20"/>
                <w:szCs w:val="20"/>
              </w:rPr>
              <w:t>.</w:t>
            </w:r>
          </w:p>
        </w:tc>
      </w:tr>
      <w:tr w:rsidR="004167C4" w:rsidRPr="00D60728" w:rsidTr="004167C4">
        <w:trPr>
          <w:trHeight w:val="2098"/>
        </w:trPr>
        <w:tc>
          <w:tcPr>
            <w:tcW w:w="1129" w:type="dxa"/>
            <w:vMerge/>
            <w:vAlign w:val="center"/>
            <w:hideMark/>
          </w:tcPr>
          <w:p w:rsidR="004167C4" w:rsidRPr="00D60728" w:rsidRDefault="004167C4" w:rsidP="00BF7DCC">
            <w:pPr>
              <w:spacing w:line="240" w:lineRule="auto"/>
              <w:jc w:val="left"/>
              <w:rPr>
                <w:rFonts w:ascii="Times New Roman" w:hAnsi="Times New Roman"/>
                <w:sz w:val="20"/>
                <w:szCs w:val="20"/>
              </w:rPr>
            </w:pPr>
          </w:p>
        </w:tc>
        <w:tc>
          <w:tcPr>
            <w:tcW w:w="1418" w:type="dxa"/>
            <w:vAlign w:val="center"/>
          </w:tcPr>
          <w:p w:rsidR="004167C4" w:rsidRPr="00D60728" w:rsidRDefault="004167C4" w:rsidP="00BF7DCC">
            <w:pPr>
              <w:spacing w:line="240" w:lineRule="auto"/>
              <w:jc w:val="left"/>
              <w:rPr>
                <w:rFonts w:ascii="Times New Roman" w:hAnsi="Times New Roman"/>
                <w:sz w:val="20"/>
                <w:szCs w:val="20"/>
              </w:rPr>
            </w:pPr>
            <w:r>
              <w:rPr>
                <w:rFonts w:ascii="Times New Roman" w:hAnsi="Times New Roman"/>
                <w:sz w:val="20"/>
                <w:szCs w:val="20"/>
              </w:rPr>
              <w:t>Cilj i o</w:t>
            </w:r>
            <w:r w:rsidRPr="00D60728">
              <w:rPr>
                <w:rFonts w:ascii="Times New Roman" w:hAnsi="Times New Roman"/>
                <w:sz w:val="20"/>
                <w:szCs w:val="20"/>
              </w:rPr>
              <w:t>pis</w:t>
            </w:r>
          </w:p>
        </w:tc>
        <w:tc>
          <w:tcPr>
            <w:tcW w:w="6628" w:type="dxa"/>
            <w:shd w:val="clear" w:color="auto" w:fill="auto"/>
            <w:vAlign w:val="center"/>
          </w:tcPr>
          <w:p w:rsidR="004167C4" w:rsidRPr="00D60728" w:rsidRDefault="004167C4" w:rsidP="00BF7DCC">
            <w:pPr>
              <w:spacing w:line="240" w:lineRule="auto"/>
              <w:rPr>
                <w:rFonts w:ascii="Times New Roman" w:hAnsi="Times New Roman"/>
                <w:i/>
                <w:iCs/>
                <w:sz w:val="20"/>
                <w:szCs w:val="20"/>
              </w:rPr>
            </w:pPr>
            <w:r w:rsidRPr="00D60728">
              <w:rPr>
                <w:rFonts w:ascii="Times New Roman" w:hAnsi="Times New Roman"/>
                <w:i/>
                <w:iCs/>
                <w:sz w:val="20"/>
                <w:szCs w:val="20"/>
              </w:rPr>
              <w:t>Postojeći sustav plaćanja posebne naknade za okoliš na motornim vozilima uređen je Zakonom o Fondu za zaštitu okoliša i energetsku učinkovitost (NN 107/03, 144/12), Uredbom o jediničnim naknadama, korektivnim koeficijentima i pobližim kriterijima i mjerilima za utvrđivanje posebne naknade za okoliš na vozila na motorni pogon (NN 114/14, 147/14). Posebna naknada naplaćuje se uzimajući u obzir vrstu motora i goriva, radni volumen motora, vrstu vozila, emisiju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i starost vozila.</w:t>
            </w:r>
          </w:p>
        </w:tc>
      </w:tr>
      <w:tr w:rsidR="00D60728" w:rsidRPr="00D60728" w:rsidTr="004167C4">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D60728" w:rsidRPr="00D60728" w:rsidRDefault="00D60728"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Izrada detaljne analize kako bi se ustvrdila potreba za izmjenama i unaprjeđenjem postojećeg sustava plaćanja. Pri tome će se razmotriti mogućnost dodatnog oporezivanja vozila određenih ekoloških kategorija.</w:t>
            </w:r>
          </w:p>
        </w:tc>
      </w:tr>
      <w:tr w:rsidR="004167C4" w:rsidRPr="00D60728" w:rsidTr="004167C4">
        <w:trPr>
          <w:trHeight w:val="680"/>
        </w:trPr>
        <w:tc>
          <w:tcPr>
            <w:tcW w:w="1129" w:type="dxa"/>
            <w:vMerge/>
            <w:vAlign w:val="center"/>
            <w:hideMark/>
          </w:tcPr>
          <w:p w:rsidR="004167C4" w:rsidRPr="00D60728" w:rsidRDefault="004167C4" w:rsidP="00BF7DCC">
            <w:pPr>
              <w:spacing w:line="240" w:lineRule="auto"/>
              <w:jc w:val="left"/>
              <w:rPr>
                <w:rFonts w:ascii="Times New Roman" w:hAnsi="Times New Roman"/>
                <w:sz w:val="20"/>
                <w:szCs w:val="20"/>
              </w:rPr>
            </w:pPr>
          </w:p>
        </w:tc>
        <w:tc>
          <w:tcPr>
            <w:tcW w:w="1418" w:type="dxa"/>
            <w:vAlign w:val="center"/>
            <w:hideMark/>
          </w:tcPr>
          <w:p w:rsidR="004167C4" w:rsidRPr="00D60728" w:rsidRDefault="004167C4"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4167C4" w:rsidRDefault="004167C4"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p w:rsidR="004167C4" w:rsidRPr="00D60728" w:rsidRDefault="004167C4" w:rsidP="00BF7DCC">
            <w:pPr>
              <w:spacing w:line="240" w:lineRule="auto"/>
              <w:rPr>
                <w:rFonts w:ascii="Times New Roman" w:hAnsi="Times New Roman"/>
                <w:i/>
                <w:iCs/>
                <w:sz w:val="20"/>
                <w:szCs w:val="20"/>
              </w:rPr>
            </w:pPr>
            <w:r w:rsidRPr="00D60728">
              <w:rPr>
                <w:rFonts w:ascii="Times New Roman" w:hAnsi="Times New Roman"/>
                <w:i/>
                <w:iCs/>
                <w:sz w:val="20"/>
                <w:szCs w:val="20"/>
              </w:rPr>
              <w:t>FZOEU</w:t>
            </w:r>
          </w:p>
        </w:tc>
      </w:tr>
      <w:tr w:rsidR="00D60728" w:rsidRPr="00D60728" w:rsidTr="004167C4">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shd w:val="clear" w:color="auto" w:fill="auto"/>
            <w:vAlign w:val="center"/>
          </w:tcPr>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Financijska sredstva za provedbu ovih aktivnosti planira MZOE u okviru svojih godišnjih proračuna, kao sastavni dio svojih redovnih aktivnosti.</w:t>
            </w:r>
          </w:p>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(MZOE)</w:t>
            </w:r>
          </w:p>
        </w:tc>
      </w:tr>
      <w:tr w:rsidR="004167C4" w:rsidRPr="00D60728" w:rsidTr="004167C4">
        <w:trPr>
          <w:trHeight w:val="794"/>
        </w:trPr>
        <w:tc>
          <w:tcPr>
            <w:tcW w:w="1129" w:type="dxa"/>
            <w:vAlign w:val="center"/>
            <w:hideMark/>
          </w:tcPr>
          <w:p w:rsidR="004167C4" w:rsidRPr="00D60728" w:rsidRDefault="004167C4"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4167C4" w:rsidRPr="00D60728" w:rsidRDefault="004167C4"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4167C4" w:rsidRPr="00D60728" w:rsidRDefault="004167C4"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Pr>
                <w:rFonts w:ascii="Times New Roman" w:hAnsi="Times New Roman"/>
                <w:i/>
                <w:iCs/>
                <w:sz w:val="20"/>
                <w:szCs w:val="20"/>
              </w:rPr>
              <w:t>u</w:t>
            </w:r>
            <w:r w:rsidRPr="00D60728">
              <w:rPr>
                <w:rFonts w:ascii="Times New Roman" w:hAnsi="Times New Roman"/>
                <w:i/>
                <w:iCs/>
                <w:sz w:val="20"/>
                <w:szCs w:val="20"/>
              </w:rPr>
              <w:t xml:space="preserve">šteda energije, </w:t>
            </w:r>
          </w:p>
          <w:p w:rsidR="004167C4" w:rsidRPr="00D60728" w:rsidRDefault="004167C4"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emisije 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p w:rsidR="004167C4" w:rsidRPr="00D60728" w:rsidRDefault="004167C4"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emisija onečišćujućih tvari.</w:t>
            </w:r>
          </w:p>
        </w:tc>
      </w:tr>
    </w:tbl>
    <w:p w:rsidR="00D60728" w:rsidRPr="00D60728" w:rsidRDefault="00D60728" w:rsidP="00BF7DCC">
      <w:pPr>
        <w:spacing w:line="240" w:lineRule="auto"/>
      </w:pPr>
    </w:p>
    <w:p w:rsidR="00E4380B" w:rsidRDefault="00E4380B" w:rsidP="00BF7DCC">
      <w:pPr>
        <w:spacing w:line="240" w:lineRule="auto"/>
      </w:pPr>
    </w:p>
    <w:tbl>
      <w:tblPr>
        <w:tblStyle w:val="TableGrid"/>
        <w:tblW w:w="9175" w:type="dxa"/>
        <w:tblLayout w:type="fixed"/>
        <w:tblLook w:val="04A0" w:firstRow="1" w:lastRow="0" w:firstColumn="1" w:lastColumn="0" w:noHBand="0" w:noVBand="1"/>
      </w:tblPr>
      <w:tblGrid>
        <w:gridCol w:w="1129"/>
        <w:gridCol w:w="1418"/>
        <w:gridCol w:w="6628"/>
      </w:tblGrid>
      <w:tr w:rsidR="00D60728" w:rsidRPr="00707212" w:rsidTr="00E4380B">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Posebni porez za motorna vozila</w:t>
            </w:r>
          </w:p>
        </w:tc>
      </w:tr>
      <w:tr w:rsidR="00D60728" w:rsidRPr="00D60728" w:rsidTr="00E4380B">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MTR-3</w:t>
            </w:r>
          </w:p>
        </w:tc>
      </w:tr>
      <w:tr w:rsidR="00D60728" w:rsidRPr="00D60728" w:rsidTr="00E4380B">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fiskalna mjera</w:t>
            </w:r>
          </w:p>
        </w:tc>
      </w:tr>
      <w:tr w:rsidR="00D60728" w:rsidRPr="00D60728" w:rsidTr="00E4380B">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E4380B">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FD2A19">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shd w:val="clear" w:color="auto" w:fill="auto"/>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FD2A19">
              <w:rPr>
                <w:rFonts w:ascii="Times New Roman" w:hAnsi="Times New Roman"/>
                <w:i/>
                <w:iCs/>
                <w:sz w:val="20"/>
                <w:szCs w:val="20"/>
              </w:rPr>
              <w:t>24</w:t>
            </w:r>
            <w:r w:rsidRPr="00D60728">
              <w:rPr>
                <w:rFonts w:ascii="Times New Roman" w:hAnsi="Times New Roman"/>
                <w:i/>
                <w:iCs/>
                <w:sz w:val="20"/>
                <w:szCs w:val="20"/>
              </w:rPr>
              <w:t>.</w:t>
            </w:r>
          </w:p>
        </w:tc>
      </w:tr>
      <w:tr w:rsidR="00E4380B" w:rsidRPr="00D60728" w:rsidTr="00FD2A19">
        <w:trPr>
          <w:trHeight w:val="2381"/>
        </w:trPr>
        <w:tc>
          <w:tcPr>
            <w:tcW w:w="1129" w:type="dxa"/>
            <w:vMerge/>
            <w:vAlign w:val="center"/>
            <w:hideMark/>
          </w:tcPr>
          <w:p w:rsidR="00E4380B" w:rsidRPr="00D60728" w:rsidRDefault="00E4380B" w:rsidP="00BF7DCC">
            <w:pPr>
              <w:spacing w:line="240" w:lineRule="auto"/>
              <w:jc w:val="left"/>
              <w:rPr>
                <w:rFonts w:ascii="Times New Roman" w:hAnsi="Times New Roman"/>
                <w:sz w:val="20"/>
                <w:szCs w:val="20"/>
              </w:rPr>
            </w:pPr>
          </w:p>
        </w:tc>
        <w:tc>
          <w:tcPr>
            <w:tcW w:w="1418" w:type="dxa"/>
            <w:vAlign w:val="center"/>
          </w:tcPr>
          <w:p w:rsidR="00E4380B" w:rsidRPr="00D60728" w:rsidRDefault="00E4380B" w:rsidP="00BF7DCC">
            <w:pPr>
              <w:spacing w:line="240" w:lineRule="auto"/>
              <w:jc w:val="left"/>
              <w:rPr>
                <w:rFonts w:ascii="Times New Roman" w:hAnsi="Times New Roman"/>
                <w:sz w:val="20"/>
                <w:szCs w:val="20"/>
              </w:rPr>
            </w:pPr>
            <w:r>
              <w:rPr>
                <w:rFonts w:ascii="Times New Roman" w:hAnsi="Times New Roman"/>
                <w:sz w:val="20"/>
                <w:szCs w:val="20"/>
              </w:rPr>
              <w:t>Cilj i o</w:t>
            </w:r>
            <w:r w:rsidRPr="00D60728">
              <w:rPr>
                <w:rFonts w:ascii="Times New Roman" w:hAnsi="Times New Roman"/>
                <w:sz w:val="20"/>
                <w:szCs w:val="20"/>
              </w:rPr>
              <w:t>pis</w:t>
            </w:r>
          </w:p>
        </w:tc>
        <w:tc>
          <w:tcPr>
            <w:tcW w:w="6628" w:type="dxa"/>
            <w:shd w:val="clear" w:color="auto" w:fill="auto"/>
            <w:vAlign w:val="center"/>
          </w:tcPr>
          <w:p w:rsidR="00E4380B" w:rsidRPr="00D60728" w:rsidRDefault="00E4380B" w:rsidP="00BF7DCC">
            <w:pPr>
              <w:spacing w:line="240" w:lineRule="auto"/>
              <w:rPr>
                <w:rFonts w:ascii="Times New Roman" w:hAnsi="Times New Roman"/>
                <w:i/>
                <w:iCs/>
                <w:sz w:val="20"/>
                <w:szCs w:val="20"/>
              </w:rPr>
            </w:pPr>
            <w:r w:rsidRPr="00D60728">
              <w:rPr>
                <w:rFonts w:ascii="Times New Roman" w:hAnsi="Times New Roman"/>
                <w:i/>
                <w:iCs/>
                <w:sz w:val="20"/>
                <w:szCs w:val="20"/>
              </w:rPr>
              <w:t>Bazirajući se na načelu „onečišćivač plaća“, model obračuna temelji se na emisiji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zrak iz motornih vozila. Posebni porez utvrđuje se na temelju prodajne, odnosno tržišne cijene motornog vozila, emisije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izražene u gramima po kilometru, obujmu motora u kubičnim centimetrima i razini emisije stakleničkih plinova. Ovim posebnim porezom potiče se kupovina učinkovitih vozila i vozila s manjim emisijama stakleničkih plinova. Donošenjem Zakona o posebnom porezu na motorna vozila (NN 15/13, 108/13, 115/16, 127/17) osigurana je primjena i provođenje mjere.</w:t>
            </w:r>
          </w:p>
        </w:tc>
      </w:tr>
      <w:tr w:rsidR="00D60728" w:rsidRPr="00D60728" w:rsidTr="00FD2A19">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D60728" w:rsidRPr="00D60728" w:rsidRDefault="00D60728"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Izrada detaljne analize kako bi se ustvrdila potreba za izmjenama i unaprjeđenjem postojećeg sustava plaćanja. Pri tome će se razmotriti mogućnost dodatnog oporezivanja vozila određenih ekoloških kategorija, </w:t>
            </w:r>
            <w:r w:rsidRPr="00D60728">
              <w:rPr>
                <w:rFonts w:ascii="Times New Roman" w:hAnsi="Times New Roman"/>
                <w:i/>
                <w:sz w:val="20"/>
                <w:szCs w:val="20"/>
              </w:rPr>
              <w:lastRenderedPageBreak/>
              <w:t>mogućnost ukidanja deprecijacije obračunatog posebnog poreza na rabljena vozila, te mogućnosti redefiniranja naknada s obzirom na deklarirani mjerni ciklus potrošnje goriva i emisije ispušnih plinova (WLTP ili NEDC) specifičnog vozila.</w:t>
            </w:r>
          </w:p>
        </w:tc>
      </w:tr>
      <w:tr w:rsidR="00CC3EF2" w:rsidRPr="00D60728" w:rsidTr="00FD2A19">
        <w:trPr>
          <w:trHeight w:val="624"/>
        </w:trPr>
        <w:tc>
          <w:tcPr>
            <w:tcW w:w="1129" w:type="dxa"/>
            <w:vMerge/>
            <w:vAlign w:val="center"/>
            <w:hideMark/>
          </w:tcPr>
          <w:p w:rsidR="00CC3EF2" w:rsidRPr="00D60728" w:rsidRDefault="00CC3EF2" w:rsidP="00BF7DCC">
            <w:pPr>
              <w:spacing w:line="240" w:lineRule="auto"/>
              <w:jc w:val="left"/>
              <w:rPr>
                <w:rFonts w:ascii="Times New Roman" w:hAnsi="Times New Roman"/>
                <w:sz w:val="20"/>
                <w:szCs w:val="20"/>
              </w:rPr>
            </w:pPr>
          </w:p>
        </w:tc>
        <w:tc>
          <w:tcPr>
            <w:tcW w:w="1418" w:type="dxa"/>
            <w:vAlign w:val="center"/>
            <w:hideMark/>
          </w:tcPr>
          <w:p w:rsidR="00CC3EF2" w:rsidRPr="00D60728" w:rsidRDefault="00CC3EF2"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CC3EF2" w:rsidRDefault="00CC3EF2"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p w:rsidR="00CC3EF2" w:rsidRPr="00D60728" w:rsidRDefault="00CC3EF2" w:rsidP="00BF7DCC">
            <w:pPr>
              <w:spacing w:line="240" w:lineRule="auto"/>
              <w:rPr>
                <w:rFonts w:ascii="Times New Roman" w:hAnsi="Times New Roman"/>
                <w:i/>
                <w:iCs/>
                <w:sz w:val="20"/>
                <w:szCs w:val="20"/>
              </w:rPr>
            </w:pPr>
            <w:r w:rsidRPr="00D60728">
              <w:rPr>
                <w:rFonts w:ascii="Times New Roman" w:hAnsi="Times New Roman"/>
                <w:i/>
                <w:iCs/>
                <w:sz w:val="20"/>
                <w:szCs w:val="20"/>
              </w:rPr>
              <w:t>MFIN</w:t>
            </w:r>
          </w:p>
        </w:tc>
      </w:tr>
      <w:tr w:rsidR="00D60728" w:rsidRPr="00D60728" w:rsidTr="00E4380B">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Financijska sredstva za provedbu ovih aktivnosti planira MZOE u okviru svojih godišnjih proračuna, kao sastavni dio svojih redovnih aktivnosti.</w:t>
            </w:r>
          </w:p>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(MZOE)</w:t>
            </w:r>
          </w:p>
        </w:tc>
      </w:tr>
      <w:tr w:rsidR="00CC3EF2" w:rsidRPr="00D60728" w:rsidTr="00CC3EF2">
        <w:trPr>
          <w:trHeight w:val="794"/>
        </w:trPr>
        <w:tc>
          <w:tcPr>
            <w:tcW w:w="1129" w:type="dxa"/>
            <w:vAlign w:val="center"/>
            <w:hideMark/>
          </w:tcPr>
          <w:p w:rsidR="00CC3EF2" w:rsidRPr="00D60728" w:rsidRDefault="00CC3EF2"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CC3EF2" w:rsidRPr="00D60728" w:rsidRDefault="00CC3EF2"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CC3EF2" w:rsidRPr="00D60728" w:rsidRDefault="00CC3EF2"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ušteda energije,  </w:t>
            </w:r>
          </w:p>
          <w:p w:rsidR="00CC3EF2" w:rsidRPr="00D60728" w:rsidRDefault="00CC3EF2"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emisije CO</w:t>
            </w:r>
            <w:r w:rsidRPr="00D60728">
              <w:rPr>
                <w:rFonts w:ascii="Times New Roman" w:hAnsi="Times New Roman"/>
                <w:i/>
                <w:iCs/>
                <w:sz w:val="20"/>
                <w:szCs w:val="20"/>
                <w:vertAlign w:val="subscript"/>
              </w:rPr>
              <w:t>2e</w:t>
            </w:r>
            <w:r w:rsidRPr="00D60728">
              <w:rPr>
                <w:rFonts w:ascii="Times New Roman" w:hAnsi="Times New Roman"/>
                <w:i/>
                <w:iCs/>
                <w:sz w:val="20"/>
                <w:szCs w:val="20"/>
              </w:rPr>
              <w:t xml:space="preserve">, </w:t>
            </w:r>
          </w:p>
          <w:p w:rsidR="00CC3EF2" w:rsidRPr="00D60728" w:rsidRDefault="00CC3EF2"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emisija onečišćujućih tvari.</w:t>
            </w:r>
          </w:p>
        </w:tc>
      </w:tr>
    </w:tbl>
    <w:p w:rsidR="00D60728" w:rsidRPr="00D60728" w:rsidRDefault="00D60728" w:rsidP="00BF7DCC">
      <w:pPr>
        <w:spacing w:line="240" w:lineRule="auto"/>
      </w:pPr>
    </w:p>
    <w:p w:rsidR="00707212" w:rsidRDefault="00707212" w:rsidP="00BF7DCC">
      <w:pPr>
        <w:spacing w:line="240" w:lineRule="auto"/>
      </w:pPr>
    </w:p>
    <w:tbl>
      <w:tblPr>
        <w:tblStyle w:val="TableGrid"/>
        <w:tblW w:w="9175" w:type="dxa"/>
        <w:tblLayout w:type="fixed"/>
        <w:tblLook w:val="04A0" w:firstRow="1" w:lastRow="0" w:firstColumn="1" w:lastColumn="0" w:noHBand="0" w:noVBand="1"/>
      </w:tblPr>
      <w:tblGrid>
        <w:gridCol w:w="1129"/>
        <w:gridCol w:w="1418"/>
        <w:gridCol w:w="6628"/>
      </w:tblGrid>
      <w:tr w:rsidR="00D60728" w:rsidRPr="00707212" w:rsidTr="00FD2A19">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Praćenje, izvještavanje i verifikacija emisija stakleničkih plinova u životnom vijeku goriva i energije</w:t>
            </w:r>
          </w:p>
        </w:tc>
      </w:tr>
      <w:tr w:rsidR="00D60728" w:rsidRPr="00D60728" w:rsidTr="00FD2A19">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MTR-4</w:t>
            </w:r>
          </w:p>
        </w:tc>
      </w:tr>
      <w:tr w:rsidR="00D60728" w:rsidRPr="00D60728" w:rsidTr="00FD2A19">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D60728" w:rsidRPr="00D60728" w:rsidTr="00FD2A19">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E6693C">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FD2A19">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E6693C">
              <w:rPr>
                <w:rFonts w:ascii="Times New Roman" w:hAnsi="Times New Roman"/>
                <w:i/>
                <w:iCs/>
                <w:sz w:val="20"/>
                <w:szCs w:val="20"/>
              </w:rPr>
              <w:t>24</w:t>
            </w:r>
            <w:r w:rsidRPr="00D60728">
              <w:rPr>
                <w:rFonts w:ascii="Times New Roman" w:hAnsi="Times New Roman"/>
                <w:i/>
                <w:iCs/>
                <w:sz w:val="20"/>
                <w:szCs w:val="20"/>
              </w:rPr>
              <w:t>.</w:t>
            </w:r>
          </w:p>
        </w:tc>
      </w:tr>
      <w:tr w:rsidR="00E6693C" w:rsidRPr="00D60728" w:rsidTr="00E6693C">
        <w:trPr>
          <w:trHeight w:val="4535"/>
        </w:trPr>
        <w:tc>
          <w:tcPr>
            <w:tcW w:w="1129" w:type="dxa"/>
            <w:vMerge/>
            <w:vAlign w:val="center"/>
            <w:hideMark/>
          </w:tcPr>
          <w:p w:rsidR="00E6693C" w:rsidRPr="00D60728" w:rsidRDefault="00E6693C" w:rsidP="00BF7DCC">
            <w:pPr>
              <w:spacing w:line="240" w:lineRule="auto"/>
              <w:jc w:val="left"/>
              <w:rPr>
                <w:rFonts w:ascii="Times New Roman" w:hAnsi="Times New Roman"/>
                <w:sz w:val="20"/>
                <w:szCs w:val="20"/>
              </w:rPr>
            </w:pPr>
          </w:p>
        </w:tc>
        <w:tc>
          <w:tcPr>
            <w:tcW w:w="1418" w:type="dxa"/>
            <w:shd w:val="clear" w:color="auto" w:fill="auto"/>
            <w:vAlign w:val="center"/>
          </w:tcPr>
          <w:p w:rsidR="00E6693C" w:rsidRPr="00D60728" w:rsidRDefault="00E6693C" w:rsidP="00BF7DCC">
            <w:pPr>
              <w:spacing w:line="240" w:lineRule="auto"/>
              <w:jc w:val="left"/>
              <w:rPr>
                <w:rFonts w:ascii="Times New Roman" w:hAnsi="Times New Roman"/>
                <w:sz w:val="20"/>
                <w:szCs w:val="20"/>
              </w:rPr>
            </w:pPr>
            <w:r>
              <w:rPr>
                <w:rFonts w:ascii="Times New Roman" w:hAnsi="Times New Roman"/>
                <w:sz w:val="20"/>
                <w:szCs w:val="20"/>
              </w:rPr>
              <w:t>Cilj i o</w:t>
            </w:r>
            <w:r w:rsidRPr="00D60728">
              <w:rPr>
                <w:rFonts w:ascii="Times New Roman" w:hAnsi="Times New Roman"/>
                <w:sz w:val="20"/>
                <w:szCs w:val="20"/>
              </w:rPr>
              <w:t>pis</w:t>
            </w:r>
          </w:p>
        </w:tc>
        <w:tc>
          <w:tcPr>
            <w:tcW w:w="6628" w:type="dxa"/>
            <w:shd w:val="clear" w:color="auto" w:fill="auto"/>
            <w:vAlign w:val="center"/>
          </w:tcPr>
          <w:p w:rsidR="00E6693C" w:rsidRPr="00D60728" w:rsidRDefault="00E6693C" w:rsidP="00BF7DCC">
            <w:pPr>
              <w:spacing w:line="240" w:lineRule="auto"/>
              <w:rPr>
                <w:rFonts w:ascii="Times New Roman" w:hAnsi="Times New Roman"/>
                <w:i/>
                <w:iCs/>
                <w:sz w:val="20"/>
                <w:szCs w:val="20"/>
              </w:rPr>
            </w:pPr>
            <w:r w:rsidRPr="00D60728">
              <w:rPr>
                <w:rFonts w:ascii="Times New Roman" w:hAnsi="Times New Roman"/>
                <w:i/>
                <w:iCs/>
                <w:sz w:val="20"/>
                <w:szCs w:val="20"/>
              </w:rPr>
              <w:t>U skladu sa Zakonom o zaštiti zraka (NN 130/11, 47/14, 61/17, 118/18), dobavljač koji stavlja gorivo na domaće tržište će pratiti emisije stakleničkih plinova po jedinici energije za vrijeme trajanja goriva. Dobavljači trebaju sastaviti izvješće koje treba biti verificirano i dostavljeno Ministarstvu zaštite okoliša i energetike – Zavod za zaštitu okoliša i prirode. Sukladno Zakonu, Uredbom o kvaliteti tekućih naftnih goriva i načinu praćenja i izvještavanja te metodologiji izračuna emisija stakleničkih plinova u životnom vijeku isporučenih goriva i energije (NN 57/17) propisuju se način i rokovi dostave izvješća o emisijama stakleničkih plinova u životnom vijeku goriva i energije Ministarstvu zaštite okoliša i energetike, način praćenja i izvješćivanja, metodologija izračuna emisija stakleničkih plinova u životnom vijeku goriva i energije, metodologija utvrđivanja razine emisija stakleničkih plinova u životnom vijeku goriva po energetskoj jedinici za baznu 2010. godinu, metodologija izračuna doprinosa električnih cestovnih vozila smanjenju emisija stakleničkih plinova, format izvješća i duljina čuvanja te način dostave podataka nadležnim tijelima Europske unije.</w:t>
            </w:r>
          </w:p>
        </w:tc>
      </w:tr>
      <w:tr w:rsidR="00D60728" w:rsidRPr="00D60728" w:rsidTr="00E6693C">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shd w:val="clear" w:color="auto" w:fill="auto"/>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D60728" w:rsidRPr="00D60728" w:rsidRDefault="00D60728" w:rsidP="00BF7DCC">
            <w:pPr>
              <w:pStyle w:val="ListParagraph"/>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U okviru mjere nastavit će se provedba zakonskih obveza.</w:t>
            </w:r>
          </w:p>
        </w:tc>
      </w:tr>
      <w:tr w:rsidR="00E6693C" w:rsidRPr="00D60728" w:rsidTr="00E6693C">
        <w:trPr>
          <w:trHeight w:val="510"/>
        </w:trPr>
        <w:tc>
          <w:tcPr>
            <w:tcW w:w="1129" w:type="dxa"/>
            <w:vMerge/>
            <w:vAlign w:val="center"/>
            <w:hideMark/>
          </w:tcPr>
          <w:p w:rsidR="00E6693C" w:rsidRPr="00D60728" w:rsidRDefault="00E6693C" w:rsidP="00BF7DCC">
            <w:pPr>
              <w:spacing w:line="240" w:lineRule="auto"/>
              <w:jc w:val="left"/>
              <w:rPr>
                <w:rFonts w:ascii="Times New Roman" w:hAnsi="Times New Roman"/>
                <w:sz w:val="20"/>
                <w:szCs w:val="20"/>
              </w:rPr>
            </w:pPr>
          </w:p>
        </w:tc>
        <w:tc>
          <w:tcPr>
            <w:tcW w:w="1418" w:type="dxa"/>
            <w:vAlign w:val="center"/>
            <w:hideMark/>
          </w:tcPr>
          <w:p w:rsidR="00E6693C" w:rsidRPr="00D60728" w:rsidRDefault="00E6693C"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E6693C" w:rsidRPr="00D60728" w:rsidRDefault="00E6693C"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tc>
      </w:tr>
      <w:tr w:rsidR="00D60728" w:rsidRPr="00D60728" w:rsidTr="00FD2A19">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Financijska sredstva za provedbu ovih aktivnosti planira MZOE u okviru svojih godišnjih proračuna, kao sastavni dio svojih redovnih aktivnosti.</w:t>
            </w:r>
          </w:p>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(MZOE)</w:t>
            </w:r>
          </w:p>
        </w:tc>
      </w:tr>
      <w:tr w:rsidR="00E6693C" w:rsidRPr="00D60728" w:rsidTr="00E6693C">
        <w:trPr>
          <w:trHeight w:val="907"/>
        </w:trPr>
        <w:tc>
          <w:tcPr>
            <w:tcW w:w="1129" w:type="dxa"/>
            <w:vMerge w:val="restart"/>
            <w:vAlign w:val="center"/>
            <w:hideMark/>
          </w:tcPr>
          <w:p w:rsidR="00E6693C" w:rsidRPr="00D60728" w:rsidRDefault="00E6693C"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E6693C" w:rsidRPr="00D60728" w:rsidRDefault="00E6693C"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E6693C" w:rsidRPr="00D60728" w:rsidRDefault="00E6693C"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ušteda energije,  </w:t>
            </w:r>
          </w:p>
          <w:p w:rsidR="00E6693C" w:rsidRPr="00D60728" w:rsidRDefault="00E6693C"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emisije 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p w:rsidR="00E6693C" w:rsidRPr="00D60728" w:rsidRDefault="00E6693C"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emisija onečišćujućih tvari.</w:t>
            </w:r>
          </w:p>
        </w:tc>
      </w:tr>
      <w:tr w:rsidR="00E6693C" w:rsidRPr="00D60728" w:rsidTr="00E6693C">
        <w:trPr>
          <w:trHeight w:val="907"/>
        </w:trPr>
        <w:tc>
          <w:tcPr>
            <w:tcW w:w="1129" w:type="dxa"/>
            <w:vMerge/>
            <w:vAlign w:val="center"/>
            <w:hideMark/>
          </w:tcPr>
          <w:p w:rsidR="00E6693C" w:rsidRPr="00D60728" w:rsidRDefault="00E6693C" w:rsidP="00BF7DCC">
            <w:pPr>
              <w:spacing w:line="240" w:lineRule="auto"/>
              <w:jc w:val="left"/>
              <w:rPr>
                <w:rFonts w:ascii="Times New Roman" w:hAnsi="Times New Roman"/>
                <w:sz w:val="20"/>
                <w:szCs w:val="20"/>
              </w:rPr>
            </w:pPr>
          </w:p>
        </w:tc>
        <w:tc>
          <w:tcPr>
            <w:tcW w:w="1418" w:type="dxa"/>
            <w:vAlign w:val="center"/>
          </w:tcPr>
          <w:p w:rsidR="00E6693C" w:rsidRPr="00D60728" w:rsidRDefault="00E6693C"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E6693C" w:rsidRPr="00D60728" w:rsidRDefault="00E6693C"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Verificirana izvješća o emisijama stakleničkih plinova u životnom vijeku goriva</w:t>
            </w:r>
          </w:p>
        </w:tc>
      </w:tr>
    </w:tbl>
    <w:p w:rsidR="00D60728" w:rsidRPr="00D60728" w:rsidRDefault="00D60728" w:rsidP="00BF7DCC">
      <w:pPr>
        <w:spacing w:line="240" w:lineRule="auto"/>
      </w:pPr>
    </w:p>
    <w:p w:rsidR="00E6693C" w:rsidRDefault="00E6693C" w:rsidP="00BF7DCC">
      <w:pPr>
        <w:spacing w:line="240" w:lineRule="auto"/>
      </w:pPr>
    </w:p>
    <w:tbl>
      <w:tblPr>
        <w:tblStyle w:val="TableGrid"/>
        <w:tblW w:w="9175" w:type="dxa"/>
        <w:tblLayout w:type="fixed"/>
        <w:tblLook w:val="04A0" w:firstRow="1" w:lastRow="0" w:firstColumn="1" w:lastColumn="0" w:noHBand="0" w:noVBand="1"/>
      </w:tblPr>
      <w:tblGrid>
        <w:gridCol w:w="1129"/>
        <w:gridCol w:w="1418"/>
        <w:gridCol w:w="6628"/>
      </w:tblGrid>
      <w:tr w:rsidR="00D60728" w:rsidRPr="00707212" w:rsidTr="00EB1F8E">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Zakonodavne prilagodbe za čišći promet</w:t>
            </w:r>
          </w:p>
        </w:tc>
      </w:tr>
      <w:tr w:rsidR="00D60728" w:rsidRPr="00D60728" w:rsidTr="00EB1F8E">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MTR-5</w:t>
            </w:r>
          </w:p>
        </w:tc>
      </w:tr>
      <w:tr w:rsidR="00D60728" w:rsidRPr="00D60728" w:rsidTr="00EB1F8E">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D60728" w:rsidRPr="00D60728" w:rsidTr="00EB1F8E">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D60728" w:rsidRPr="00D60728" w:rsidTr="00EB1F8E">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EB1F8E">
              <w:rPr>
                <w:rFonts w:ascii="Times New Roman" w:hAnsi="Times New Roman"/>
                <w:i/>
                <w:iCs/>
                <w:sz w:val="20"/>
                <w:szCs w:val="20"/>
              </w:rPr>
              <w:t>24</w:t>
            </w:r>
            <w:r w:rsidRPr="00D60728">
              <w:rPr>
                <w:rFonts w:ascii="Times New Roman" w:hAnsi="Times New Roman"/>
                <w:i/>
                <w:iCs/>
                <w:sz w:val="20"/>
                <w:szCs w:val="20"/>
              </w:rPr>
              <w:t>.</w:t>
            </w:r>
          </w:p>
        </w:tc>
      </w:tr>
      <w:tr w:rsidR="00EB1F8E" w:rsidRPr="00D60728" w:rsidTr="00707212">
        <w:trPr>
          <w:trHeight w:val="2982"/>
        </w:trPr>
        <w:tc>
          <w:tcPr>
            <w:tcW w:w="1129" w:type="dxa"/>
            <w:vMerge/>
            <w:vAlign w:val="center"/>
            <w:hideMark/>
          </w:tcPr>
          <w:p w:rsidR="00EB1F8E" w:rsidRPr="00D60728" w:rsidRDefault="00EB1F8E" w:rsidP="00BF7DCC">
            <w:pPr>
              <w:spacing w:line="240" w:lineRule="auto"/>
              <w:jc w:val="left"/>
              <w:rPr>
                <w:rFonts w:ascii="Times New Roman" w:hAnsi="Times New Roman"/>
                <w:sz w:val="20"/>
                <w:szCs w:val="20"/>
              </w:rPr>
            </w:pPr>
          </w:p>
        </w:tc>
        <w:tc>
          <w:tcPr>
            <w:tcW w:w="1418" w:type="dxa"/>
            <w:vAlign w:val="center"/>
            <w:hideMark/>
          </w:tcPr>
          <w:p w:rsidR="00EB1F8E" w:rsidRPr="00D60728" w:rsidRDefault="00EB1F8E" w:rsidP="00BF7DCC">
            <w:pPr>
              <w:spacing w:line="240" w:lineRule="auto"/>
              <w:jc w:val="left"/>
              <w:rPr>
                <w:rFonts w:ascii="Times New Roman" w:hAnsi="Times New Roman"/>
                <w:sz w:val="20"/>
                <w:szCs w:val="20"/>
              </w:rPr>
            </w:pPr>
            <w:r w:rsidRPr="00D60728">
              <w:rPr>
                <w:rFonts w:ascii="Times New Roman" w:hAnsi="Times New Roman"/>
                <w:sz w:val="20"/>
                <w:szCs w:val="20"/>
              </w:rPr>
              <w:t>Cilj</w:t>
            </w:r>
            <w:r>
              <w:rPr>
                <w:rFonts w:ascii="Times New Roman" w:hAnsi="Times New Roman"/>
                <w:sz w:val="20"/>
                <w:szCs w:val="20"/>
              </w:rPr>
              <w:t xml:space="preserve"> i opis</w:t>
            </w:r>
          </w:p>
        </w:tc>
        <w:tc>
          <w:tcPr>
            <w:tcW w:w="6628" w:type="dxa"/>
            <w:vAlign w:val="center"/>
          </w:tcPr>
          <w:p w:rsidR="00EB1F8E" w:rsidRPr="00D60728" w:rsidRDefault="00EB1F8E" w:rsidP="00BF7DCC">
            <w:pPr>
              <w:pStyle w:val="ListParagraph"/>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 xml:space="preserve">Kroz izmjene i dopune zakona i podzakonskih akata osigurati razvoj infrastrukture za alternativna goriva, </w:t>
            </w:r>
          </w:p>
          <w:p w:rsidR="00EB1F8E" w:rsidRPr="00D60728" w:rsidRDefault="00EB1F8E" w:rsidP="00BF7DCC">
            <w:pPr>
              <w:pStyle w:val="ListParagraph"/>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 xml:space="preserve">Podizanje udjela obnovljivih izvora u neposrednoj potrošnji energije u prometu te promicanje čistih i energetski učinkovitih vozila u cestovnom prijevozu. </w:t>
            </w:r>
          </w:p>
          <w:p w:rsidR="00EB1F8E" w:rsidRPr="00D60728" w:rsidRDefault="00EB1F8E" w:rsidP="00BF7DCC">
            <w:pPr>
              <w:pStyle w:val="ListParagraph"/>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 xml:space="preserve">Povećanje udjela OIE u prometu do 2030., </w:t>
            </w:r>
          </w:p>
          <w:p w:rsidR="00EB1F8E" w:rsidRPr="00D60728" w:rsidRDefault="00EB1F8E" w:rsidP="00BF7DCC">
            <w:pPr>
              <w:pStyle w:val="ListParagraph"/>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37 % udjela lakih vozila koji zadovoljavaju zadane zahtjeve u ukupnoj javnoj nabavi lakih vozila na razini države do 2030.,</w:t>
            </w:r>
          </w:p>
          <w:p w:rsidR="00EB1F8E" w:rsidRPr="00D60728" w:rsidRDefault="00EB1F8E" w:rsidP="00BF7DCC">
            <w:pPr>
              <w:pStyle w:val="ListParagraph"/>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 xml:space="preserve"> 13 % udjela kamiona koji zadovoljavaju zadane zahtjeve u ukupnoj javnoj nabavi teških vozila na razini države do 2030. i </w:t>
            </w:r>
          </w:p>
          <w:p w:rsidR="00EB1F8E" w:rsidRPr="00D60728" w:rsidRDefault="00EB1F8E" w:rsidP="00BF7DCC">
            <w:pPr>
              <w:pStyle w:val="ListParagraph"/>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65 % udjela autobusa koji zadovoljavaju zadane zahtjeve u ukupnoj javnoj nabavi autobusa na razini države do 2030. godine.</w:t>
            </w:r>
          </w:p>
        </w:tc>
      </w:tr>
      <w:tr w:rsidR="00D60728" w:rsidRPr="00D60728" w:rsidTr="00EB1F8E">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D60728" w:rsidRPr="00D60728" w:rsidRDefault="00D60728" w:rsidP="00BF7DCC">
            <w:pPr>
              <w:pStyle w:val="ListParagraph"/>
              <w:numPr>
                <w:ilvl w:val="0"/>
                <w:numId w:val="74"/>
              </w:numPr>
              <w:spacing w:line="240" w:lineRule="auto"/>
              <w:ind w:left="284" w:hanging="284"/>
              <w:rPr>
                <w:rFonts w:ascii="Times New Roman" w:hAnsi="Times New Roman"/>
                <w:i/>
                <w:sz w:val="20"/>
                <w:szCs w:val="20"/>
              </w:rPr>
            </w:pPr>
            <w:r w:rsidRPr="00D60728">
              <w:rPr>
                <w:rFonts w:ascii="Times New Roman" w:hAnsi="Times New Roman"/>
                <w:i/>
                <w:sz w:val="20"/>
                <w:szCs w:val="20"/>
              </w:rPr>
              <w:t>Na nacionalnoj razini potrebno je donijeti zakonske i podzakonske akte kojima će se urediti određivanje uvjeta za izgradnju punionica za električna vozila (uključujući punionice s pripadajućim fotonaponskim sustavom), uvjete distribuiranja, naplate i jediničnu cijenu alternativnih energenata koji se koriste u prometu, određivanje uvjeta punionica za UPP i SPP/SBM te razmotriti zahtjeve nove Direktive o energetskom učinku zgrada. Potrebno je predvidjeti izmjene i dopune zakona tako da se propišu obaveze uspostave infrastrukture za alternativna goriva za subjekte koji upravljaju prometnom infrastrukturom, te dopune zakona koji reguliraju uvjete građenja parkirališnih prostora tako da se uvede obveza postojanja punionica alternativnim gorivima. Ispunjenje ove obaveze preduvjet je daljnjeg razvoja infrastrukture alternativnih goriva.</w:t>
            </w:r>
          </w:p>
          <w:p w:rsidR="00D60728" w:rsidRPr="00D60728" w:rsidRDefault="00D60728" w:rsidP="00BF7DCC">
            <w:pPr>
              <w:pStyle w:val="ListParagraph"/>
              <w:numPr>
                <w:ilvl w:val="0"/>
                <w:numId w:val="74"/>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Osnovna odredba koja regulira i promiče uporabu biogoriva je Zakon o biogorivima za prijevoz (NN 65/09, 145/10, 26/11, 144/12, 14/14, 94/18). Na temelju ovog zakona, 2010. godine pripremljen je Nacionalni akcijski plan koji promovira proizvodnju i uporabu biogoriva u prijevozu za razdoblje od 2011. do 2020. godine. Planom se utvrđuje politika koja promiče povećanu proizvodnju i uporabu biogoriva u prijevozu u Republici Hrvatskoj. Plan sadrži pregled i procjenu stanja na tržištu goriva za transport i zaštitu zraka, usporedbenu analizu, dugoročne ciljeve, uključujući ciljano tržište biogoriva i mjere za promicanje povećane proizvodnje i korištenja biogoriva u transportu. Mjere propisane akcijskim planom uključuju mjere koje promiču proizvodnju sirovina za proizvodnju biogoriva, mjere koje promiču proizvodnju biogoriva s obzirom na naknadu za promociju proizvodnje, mjere koje promiču potrošnju biogoriva s obzirom na distributere tekućih naftnih derivata radi postavljanja biogoriva na tržište, administrativne mjere i aktivnosti istraživanja i razvoja. Nacionalni akcijski plan za obnovljive izvore energije iz 2013. godine utvrdio je ciljeve i politike vezane za </w:t>
            </w:r>
            <w:r w:rsidRPr="00D60728">
              <w:rPr>
                <w:rFonts w:ascii="Times New Roman" w:hAnsi="Times New Roman"/>
                <w:i/>
                <w:sz w:val="20"/>
                <w:szCs w:val="20"/>
              </w:rPr>
              <w:lastRenderedPageBreak/>
              <w:t>povećanje udjela OIE u finalnoj potrošnji energije do 2020. godine te posebno procijenjeni doprinos energije biogoriva u prometu.</w:t>
            </w:r>
          </w:p>
          <w:p w:rsidR="00D60728" w:rsidRPr="00D60728" w:rsidRDefault="00D60728" w:rsidP="00BF7DCC">
            <w:pPr>
              <w:pStyle w:val="ListParagraph"/>
              <w:numPr>
                <w:ilvl w:val="0"/>
                <w:numId w:val="74"/>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U narednom razdoblju Hrvatska će transponirati obveze iz Direktive o promicanju uporabe energije iz obnovljivih izvora koja je usvojena u prosincu 2018. godine. Bit će potrebno ostvariti ambiciozni cilj u kontekstu obnovljivih izvora energije u sektoru prometa u 2030. godini te posebno stimulirati korištenje obnovljive električne energije u prometu. Kako bi se osiguralo da se očekivani porast potražnje za električnom energijom iznad trenutačne polazne vrijednosti u sektoru prometa osigura s pomoću dodatnih kapaciteta proizvodnje obnovljive energije, okvir o dodatnosti u sektoru prometa koji će izraditi Komisija transponirat će se u hrvatski regulatorni okvir. </w:t>
            </w:r>
          </w:p>
          <w:p w:rsidR="00D60728" w:rsidRPr="00D60728" w:rsidRDefault="00D60728" w:rsidP="00BF7DCC">
            <w:pPr>
              <w:pStyle w:val="ListParagraph"/>
              <w:numPr>
                <w:ilvl w:val="0"/>
                <w:numId w:val="74"/>
              </w:numPr>
              <w:spacing w:line="240" w:lineRule="auto"/>
              <w:ind w:left="284" w:hanging="284"/>
              <w:rPr>
                <w:rFonts w:ascii="Times New Roman" w:hAnsi="Times New Roman"/>
                <w:i/>
                <w:sz w:val="20"/>
                <w:szCs w:val="20"/>
              </w:rPr>
            </w:pPr>
            <w:r w:rsidRPr="00D60728">
              <w:rPr>
                <w:rFonts w:ascii="Times New Roman" w:hAnsi="Times New Roman"/>
                <w:i/>
                <w:sz w:val="20"/>
                <w:szCs w:val="20"/>
              </w:rPr>
              <w:t>U svrhu analize mogućnosti zadovoljenja cilja 3,5% naprednih goriva do 2030. godine (Članak 25, stavak 1 Direktive (EU) 2018/2001 o promicanju uporabe energije iz obnovljivih izvora) iz domaćih sirovina te razvoja domaćih tehnoloških kapaciteta, provest će se detaljno istraživanje i analiza mogućnosti proizvodnje naprednih biogoriva. Cilj spomenute analize je utvrditi moguće kapacitete za domaću proizvodnju na temelju dostupnosti sirovine i tehnoloških parametara. U okviru razrade regulatornog okvira ustanovit će se financijski mehanizmi potpore razvoju i korištenju povoljnih opcija prepoznatih u analizi. Uspostava regulatornog okvira i uvjeta za uspostavu praćenja kriterija održivosti i uštede stakleničkih plinova za biogoriva, tekuća biogoriva i goriva iz biomase predviđena je unutar mjere OIE-4.</w:t>
            </w:r>
          </w:p>
          <w:p w:rsidR="00D60728" w:rsidRPr="00D60728" w:rsidRDefault="00D60728" w:rsidP="00BF7DCC">
            <w:pPr>
              <w:pStyle w:val="ListParagraph"/>
              <w:numPr>
                <w:ilvl w:val="0"/>
                <w:numId w:val="74"/>
              </w:numPr>
              <w:spacing w:line="240" w:lineRule="auto"/>
              <w:ind w:left="284" w:hanging="284"/>
              <w:rPr>
                <w:rFonts w:ascii="Times New Roman" w:hAnsi="Times New Roman"/>
                <w:i/>
                <w:sz w:val="20"/>
                <w:szCs w:val="20"/>
              </w:rPr>
            </w:pPr>
            <w:r w:rsidRPr="00D60728">
              <w:rPr>
                <w:rFonts w:ascii="Times New Roman" w:hAnsi="Times New Roman"/>
                <w:i/>
                <w:sz w:val="20"/>
                <w:szCs w:val="20"/>
              </w:rPr>
              <w:t>Trenutno je u Hrvatskoj na snazi Zakon o promicanju čistih i energetski učinkovitih vozila u cestovnom prometu (NN 127/13), koji definira da svi naručitelji i prijevoznici koji obavljaju javni linijski prijevoz putnika na temelju ugovora o obavljanju javnih usluga, pri kupnji vozila za cestovni prijevoz moraju uzeti u obzir energetske učinke i učinke na okoliš istog tijekom razdoblja eksploatacije vozila. Potrebno je transponirati revidirane obveze iz Direktive o promicanju čistih vozila u cestovnom prijevozu (EU 2019/1161) u cilju podupiranja mobilnosti s niskom razinom emisija, u kontekstu kupnje, leasinga, unajmljivanja ili najma s pravom otkupa vozila za cestovni prijevoz koje sklapaju javni naručitelji ili naručitelji ako su obvezni primjenjivati postupke javne nabave i operateri za ispunjavanje obveza obavljanja javnih usluga na temelju ugovora o javnim uslugama.</w:t>
            </w:r>
          </w:p>
          <w:p w:rsidR="00D60728" w:rsidRPr="00D60728" w:rsidRDefault="00D60728" w:rsidP="00BF7DCC">
            <w:pPr>
              <w:pStyle w:val="ListParagraph"/>
              <w:numPr>
                <w:ilvl w:val="0"/>
                <w:numId w:val="74"/>
              </w:numPr>
              <w:spacing w:line="240" w:lineRule="auto"/>
              <w:ind w:left="284" w:hanging="284"/>
              <w:rPr>
                <w:rFonts w:ascii="Times New Roman" w:hAnsi="Times New Roman"/>
                <w:i/>
                <w:sz w:val="20"/>
                <w:szCs w:val="20"/>
              </w:rPr>
            </w:pPr>
            <w:r w:rsidRPr="00D60728">
              <w:rPr>
                <w:rFonts w:ascii="Times New Roman" w:hAnsi="Times New Roman"/>
                <w:i/>
                <w:sz w:val="20"/>
                <w:szCs w:val="20"/>
              </w:rPr>
              <w:t>Osim transpozicije obveza iz predmetnih direktiva u zakonodavstvo, Republika Hrvatska definirat će i akcijski plan te propisati vremensku dinamiku za postupno uvođenje niskougljičnih rješenja u kontekstu obavljanja javnih usluga. U dogledno vrijeme svi pružatelji javnih usluga imat će obvezu korištenja isključivo energetski učinkovitog voznog parka s niskim ili bez emisija.</w:t>
            </w:r>
          </w:p>
        </w:tc>
      </w:tr>
      <w:tr w:rsidR="00EB1F8E" w:rsidRPr="00D60728" w:rsidTr="002A3E94">
        <w:trPr>
          <w:trHeight w:val="918"/>
        </w:trPr>
        <w:tc>
          <w:tcPr>
            <w:tcW w:w="1129" w:type="dxa"/>
            <w:vMerge/>
            <w:vAlign w:val="center"/>
            <w:hideMark/>
          </w:tcPr>
          <w:p w:rsidR="00EB1F8E" w:rsidRPr="00D60728" w:rsidRDefault="00EB1F8E" w:rsidP="00BF7DCC">
            <w:pPr>
              <w:spacing w:line="240" w:lineRule="auto"/>
              <w:jc w:val="left"/>
              <w:rPr>
                <w:rFonts w:ascii="Times New Roman" w:hAnsi="Times New Roman"/>
                <w:sz w:val="20"/>
                <w:szCs w:val="20"/>
              </w:rPr>
            </w:pPr>
          </w:p>
        </w:tc>
        <w:tc>
          <w:tcPr>
            <w:tcW w:w="1418" w:type="dxa"/>
            <w:vAlign w:val="center"/>
            <w:hideMark/>
          </w:tcPr>
          <w:p w:rsidR="00EB1F8E" w:rsidRPr="00D60728" w:rsidRDefault="00EB1F8E"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EB1F8E" w:rsidRPr="00D60728" w:rsidRDefault="00EB1F8E" w:rsidP="00BF7DCC">
            <w:pPr>
              <w:spacing w:line="240" w:lineRule="auto"/>
              <w:rPr>
                <w:rFonts w:ascii="Times New Roman" w:hAnsi="Times New Roman"/>
                <w:i/>
                <w:iCs/>
                <w:sz w:val="20"/>
                <w:szCs w:val="20"/>
              </w:rPr>
            </w:pPr>
            <w:r w:rsidRPr="00D60728">
              <w:rPr>
                <w:rFonts w:ascii="Times New Roman" w:hAnsi="Times New Roman"/>
                <w:i/>
                <w:iCs/>
                <w:sz w:val="20"/>
                <w:szCs w:val="20"/>
              </w:rPr>
              <w:t>Nadležna ministarstva</w:t>
            </w:r>
          </w:p>
        </w:tc>
      </w:tr>
      <w:tr w:rsidR="00D60728" w:rsidRPr="00D60728" w:rsidTr="00EB1F8E">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Financijska sredstva za provedbu ovih aktivnosti planiraju nadležna ministarstva (za prometnu infrastrukturu, za energetiku, za unutarnje poslove, za graditeljstvo i prostorno uređenje i za zaštitu okoliša) u okviru svojih godišnjih proračuna, kao sastavni dio svojih redovnih aktivnosti.</w:t>
            </w:r>
          </w:p>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(nadležna ministarstva)</w:t>
            </w:r>
          </w:p>
        </w:tc>
      </w:tr>
      <w:tr w:rsidR="00EB1F8E" w:rsidRPr="00D60728" w:rsidTr="002A3E94">
        <w:trPr>
          <w:trHeight w:val="1225"/>
        </w:trPr>
        <w:tc>
          <w:tcPr>
            <w:tcW w:w="1129" w:type="dxa"/>
            <w:vMerge w:val="restart"/>
            <w:vAlign w:val="center"/>
            <w:hideMark/>
          </w:tcPr>
          <w:p w:rsidR="00EB1F8E" w:rsidRPr="00D60728" w:rsidRDefault="00EB1F8E"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EB1F8E" w:rsidRPr="00D60728" w:rsidRDefault="00EB1F8E"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EB1F8E" w:rsidRPr="00D60728" w:rsidRDefault="00EB1F8E"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Akceleracija razvoja tržišta alternativnih energenata, </w:t>
            </w:r>
          </w:p>
          <w:p w:rsidR="00EB1F8E" w:rsidRPr="00D60728" w:rsidRDefault="00EB1F8E"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povećanje udjela OIE u finalnoj potrošnji energije u prometu,</w:t>
            </w:r>
          </w:p>
          <w:p w:rsidR="00EB1F8E" w:rsidRPr="00D60728" w:rsidRDefault="00EB1F8E"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povećanje udjela čistih vozila u cestovnom prijevozu.</w:t>
            </w:r>
          </w:p>
        </w:tc>
      </w:tr>
      <w:tr w:rsidR="00EB1F8E" w:rsidRPr="00D60728" w:rsidTr="00EB1F8E">
        <w:trPr>
          <w:trHeight w:val="1020"/>
        </w:trPr>
        <w:tc>
          <w:tcPr>
            <w:tcW w:w="1129" w:type="dxa"/>
            <w:vMerge/>
            <w:vAlign w:val="center"/>
            <w:hideMark/>
          </w:tcPr>
          <w:p w:rsidR="00EB1F8E" w:rsidRPr="00D60728" w:rsidRDefault="00EB1F8E" w:rsidP="00BF7DCC">
            <w:pPr>
              <w:spacing w:line="240" w:lineRule="auto"/>
              <w:jc w:val="left"/>
              <w:rPr>
                <w:rFonts w:ascii="Times New Roman" w:hAnsi="Times New Roman"/>
                <w:sz w:val="20"/>
                <w:szCs w:val="20"/>
              </w:rPr>
            </w:pPr>
          </w:p>
        </w:tc>
        <w:tc>
          <w:tcPr>
            <w:tcW w:w="1418" w:type="dxa"/>
            <w:vAlign w:val="center"/>
          </w:tcPr>
          <w:p w:rsidR="00EB1F8E" w:rsidRPr="00D60728" w:rsidRDefault="00EB1F8E"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EB1F8E" w:rsidRPr="00D60728" w:rsidRDefault="00EB1F8E"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Izvješća o količini OIE stavljeno na tržište u prometnom sektoru, izvješća o potrošnji energije u prometu</w:t>
            </w:r>
          </w:p>
        </w:tc>
      </w:tr>
    </w:tbl>
    <w:p w:rsidR="00D60728" w:rsidRPr="00D60728" w:rsidRDefault="00D60728" w:rsidP="00BF7DCC">
      <w:pPr>
        <w:spacing w:line="240" w:lineRule="auto"/>
      </w:pPr>
    </w:p>
    <w:p w:rsidR="00EB1F8E" w:rsidRDefault="00EB1F8E" w:rsidP="00BF7DCC">
      <w:pPr>
        <w:spacing w:line="240" w:lineRule="auto"/>
      </w:pPr>
    </w:p>
    <w:tbl>
      <w:tblPr>
        <w:tblStyle w:val="TableGrid"/>
        <w:tblW w:w="9175" w:type="dxa"/>
        <w:tblLayout w:type="fixed"/>
        <w:tblLook w:val="04A0" w:firstRow="1" w:lastRow="0" w:firstColumn="1" w:lastColumn="0" w:noHBand="0" w:noVBand="1"/>
      </w:tblPr>
      <w:tblGrid>
        <w:gridCol w:w="1129"/>
        <w:gridCol w:w="1418"/>
        <w:gridCol w:w="6628"/>
      </w:tblGrid>
      <w:tr w:rsidR="00D60728" w:rsidRPr="00707212" w:rsidTr="005E13F9">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Financijski poticaji za energetski učinkovita vozila</w:t>
            </w:r>
          </w:p>
        </w:tc>
      </w:tr>
      <w:tr w:rsidR="00D60728" w:rsidRPr="00D60728" w:rsidTr="005E13F9">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MTR-6</w:t>
            </w:r>
          </w:p>
        </w:tc>
      </w:tr>
      <w:tr w:rsidR="00D60728" w:rsidRPr="00D60728" w:rsidTr="005E13F9">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D60728" w:rsidRPr="00D60728" w:rsidTr="005E13F9">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5E13F9">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5E13F9">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5E13F9">
              <w:rPr>
                <w:rFonts w:ascii="Times New Roman" w:hAnsi="Times New Roman"/>
                <w:i/>
                <w:iCs/>
                <w:sz w:val="20"/>
                <w:szCs w:val="20"/>
              </w:rPr>
              <w:t>24</w:t>
            </w:r>
            <w:r w:rsidRPr="00D60728">
              <w:rPr>
                <w:rFonts w:ascii="Times New Roman" w:hAnsi="Times New Roman"/>
                <w:i/>
                <w:iCs/>
                <w:sz w:val="20"/>
                <w:szCs w:val="20"/>
              </w:rPr>
              <w:t>.</w:t>
            </w:r>
          </w:p>
        </w:tc>
      </w:tr>
      <w:tr w:rsidR="005E13F9" w:rsidRPr="00D60728" w:rsidTr="005E13F9">
        <w:trPr>
          <w:trHeight w:val="2948"/>
        </w:trPr>
        <w:tc>
          <w:tcPr>
            <w:tcW w:w="1129" w:type="dxa"/>
            <w:vMerge/>
            <w:vAlign w:val="center"/>
            <w:hideMark/>
          </w:tcPr>
          <w:p w:rsidR="005E13F9" w:rsidRPr="00D60728" w:rsidRDefault="005E13F9" w:rsidP="00BF7DCC">
            <w:pPr>
              <w:spacing w:line="240" w:lineRule="auto"/>
              <w:jc w:val="left"/>
              <w:rPr>
                <w:rFonts w:ascii="Times New Roman" w:hAnsi="Times New Roman"/>
                <w:sz w:val="20"/>
                <w:szCs w:val="20"/>
              </w:rPr>
            </w:pPr>
          </w:p>
        </w:tc>
        <w:tc>
          <w:tcPr>
            <w:tcW w:w="1418" w:type="dxa"/>
            <w:vAlign w:val="center"/>
          </w:tcPr>
          <w:p w:rsidR="005E13F9" w:rsidRPr="00D60728" w:rsidRDefault="005E13F9" w:rsidP="00BF7DCC">
            <w:pPr>
              <w:spacing w:line="240" w:lineRule="auto"/>
              <w:jc w:val="left"/>
              <w:rPr>
                <w:rFonts w:ascii="Times New Roman" w:hAnsi="Times New Roman"/>
                <w:sz w:val="20"/>
                <w:szCs w:val="20"/>
              </w:rPr>
            </w:pPr>
            <w:r>
              <w:rPr>
                <w:rFonts w:ascii="Times New Roman" w:hAnsi="Times New Roman"/>
                <w:sz w:val="20"/>
                <w:szCs w:val="20"/>
              </w:rPr>
              <w:t>Cilj i o</w:t>
            </w:r>
            <w:r w:rsidRPr="00D60728">
              <w:rPr>
                <w:rFonts w:ascii="Times New Roman" w:hAnsi="Times New Roman"/>
                <w:sz w:val="20"/>
                <w:szCs w:val="20"/>
              </w:rPr>
              <w:t>pis</w:t>
            </w:r>
          </w:p>
        </w:tc>
        <w:tc>
          <w:tcPr>
            <w:tcW w:w="6628" w:type="dxa"/>
            <w:shd w:val="clear" w:color="auto" w:fill="auto"/>
            <w:vAlign w:val="center"/>
          </w:tcPr>
          <w:p w:rsidR="005E13F9" w:rsidRPr="00D60728" w:rsidRDefault="005E13F9" w:rsidP="00BF7DCC">
            <w:pPr>
              <w:spacing w:line="240" w:lineRule="auto"/>
              <w:rPr>
                <w:rFonts w:ascii="Times New Roman" w:hAnsi="Times New Roman"/>
                <w:i/>
                <w:iCs/>
                <w:sz w:val="20"/>
                <w:szCs w:val="20"/>
              </w:rPr>
            </w:pPr>
            <w:r w:rsidRPr="00D60728">
              <w:rPr>
                <w:rFonts w:ascii="Times New Roman" w:hAnsi="Times New Roman"/>
                <w:i/>
                <w:iCs/>
                <w:sz w:val="20"/>
                <w:szCs w:val="20"/>
              </w:rPr>
              <w:t>U kontekstu sufinanciranja projekata čišćeg prometa, potrebno je definirati posebne linije sufinanciranja za specifične namjene i to za kupnju vozila svih kategorija s pogonom na električnu energiju, SPP/SBP, UPP/UBP i vodik. Poticajne mjere sufinanciranja nabave vozila trebaju se provoditi konzistentno, transparentno i kontinuirano, a bit će prvenstveno orijentirane na alternativna goriva za koja je procjena postojećeg stanja pokazala neznatnu zastupljenost vozila u ukupnom broju vozila, te će biti vremenski ograničene do trenutka kad praćenje stanja pokaže minimalnu zastupljenost vozila. Minimalnim stupnjem pokrenutosti tržišta smatrat će se udio od 1 posto vozila na određeno alternativno gorivo u ukupnom broju vozila registriranih u državi.</w:t>
            </w:r>
          </w:p>
        </w:tc>
      </w:tr>
      <w:tr w:rsidR="00D60728" w:rsidRPr="00D60728" w:rsidTr="005E13F9">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D60728" w:rsidRPr="00D60728" w:rsidRDefault="00D60728" w:rsidP="00BF7DCC">
            <w:pPr>
              <w:pStyle w:val="ListParagraph"/>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U okviru mjere provest će se aktivnosti sufinanciranja energetski učinkovitih vozila putem javnih poziva FZOEU-a.</w:t>
            </w:r>
          </w:p>
        </w:tc>
      </w:tr>
      <w:tr w:rsidR="005E13F9" w:rsidRPr="00D60728" w:rsidTr="005E13F9">
        <w:trPr>
          <w:trHeight w:val="567"/>
        </w:trPr>
        <w:tc>
          <w:tcPr>
            <w:tcW w:w="1129" w:type="dxa"/>
            <w:vMerge/>
            <w:vAlign w:val="center"/>
            <w:hideMark/>
          </w:tcPr>
          <w:p w:rsidR="005E13F9" w:rsidRPr="00D60728" w:rsidRDefault="005E13F9" w:rsidP="00BF7DCC">
            <w:pPr>
              <w:spacing w:line="240" w:lineRule="auto"/>
              <w:jc w:val="left"/>
              <w:rPr>
                <w:rFonts w:ascii="Times New Roman" w:hAnsi="Times New Roman"/>
                <w:sz w:val="20"/>
                <w:szCs w:val="20"/>
              </w:rPr>
            </w:pPr>
          </w:p>
        </w:tc>
        <w:tc>
          <w:tcPr>
            <w:tcW w:w="1418" w:type="dxa"/>
            <w:vAlign w:val="center"/>
            <w:hideMark/>
          </w:tcPr>
          <w:p w:rsidR="005E13F9" w:rsidRPr="00D60728" w:rsidRDefault="005E13F9"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5E13F9" w:rsidRPr="00D60728" w:rsidRDefault="005E13F9" w:rsidP="00BF7DCC">
            <w:pPr>
              <w:spacing w:line="240" w:lineRule="auto"/>
              <w:rPr>
                <w:rFonts w:ascii="Times New Roman" w:hAnsi="Times New Roman"/>
                <w:i/>
                <w:iCs/>
                <w:sz w:val="20"/>
                <w:szCs w:val="20"/>
              </w:rPr>
            </w:pPr>
            <w:r w:rsidRPr="00D60728">
              <w:rPr>
                <w:rFonts w:ascii="Times New Roman" w:hAnsi="Times New Roman"/>
                <w:i/>
                <w:iCs/>
                <w:sz w:val="20"/>
                <w:szCs w:val="20"/>
              </w:rPr>
              <w:t>FZOEU</w:t>
            </w:r>
          </w:p>
        </w:tc>
      </w:tr>
      <w:tr w:rsidR="00D60728" w:rsidRPr="00D60728" w:rsidTr="005E13F9">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900 milijuna kuna</w:t>
            </w:r>
          </w:p>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FZOEU iz sredstava stečenih od prodaje emisijskih jedinica putem dražbe, iz sredstava prikupljenih od posebne naknade za vozila te od posebne naknade za okoliš radi nestavljanja biogoriva na tržište, ESI fondovi</w:t>
            </w:r>
          </w:p>
        </w:tc>
      </w:tr>
      <w:tr w:rsidR="005E13F9" w:rsidRPr="00D60728" w:rsidTr="005E13F9">
        <w:trPr>
          <w:trHeight w:val="2041"/>
        </w:trPr>
        <w:tc>
          <w:tcPr>
            <w:tcW w:w="1129" w:type="dxa"/>
            <w:vMerge w:val="restart"/>
            <w:vAlign w:val="center"/>
            <w:hideMark/>
          </w:tcPr>
          <w:p w:rsidR="005E13F9" w:rsidRPr="00D60728" w:rsidRDefault="005E13F9"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5E13F9" w:rsidRPr="00D60728" w:rsidRDefault="005E13F9"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5E13F9" w:rsidRPr="00D60728" w:rsidRDefault="005E13F9"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ušteda energije, smanjenje emisije CO</w:t>
            </w:r>
            <w:r w:rsidRPr="00D60728">
              <w:rPr>
                <w:rFonts w:ascii="Times New Roman" w:hAnsi="Times New Roman"/>
                <w:i/>
                <w:iCs/>
                <w:sz w:val="20"/>
                <w:szCs w:val="20"/>
                <w:vertAlign w:val="subscript"/>
              </w:rPr>
              <w:t>2e</w:t>
            </w:r>
            <w:r w:rsidRPr="00D60728">
              <w:rPr>
                <w:rFonts w:ascii="Times New Roman" w:hAnsi="Times New Roman"/>
                <w:i/>
                <w:iCs/>
                <w:sz w:val="20"/>
                <w:szCs w:val="20"/>
              </w:rPr>
              <w:t xml:space="preserve"> te smanjenje emisija onečišćujućih tvari; </w:t>
            </w:r>
          </w:p>
          <w:p w:rsidR="005E13F9" w:rsidRPr="00D60728" w:rsidRDefault="005E13F9"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procijenjene uštede u 2030. 0,25 PJ (smanjenje potrošnje motornog benzina i dizelskog goriva) i 0,1 PJ (povećanje potrošnje električne energije); </w:t>
            </w:r>
          </w:p>
          <w:p w:rsidR="005E13F9" w:rsidRPr="00D60728" w:rsidRDefault="005E13F9"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2030. 18,3 ktCO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p w:rsidR="005E13F9" w:rsidRPr="00D60728" w:rsidRDefault="005E13F9"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kumulativne uštede energije u razdoblju 2021.-2030. 1,39 PJ; </w:t>
            </w:r>
          </w:p>
          <w:p w:rsidR="005E13F9" w:rsidRPr="00D60728" w:rsidRDefault="005E13F9"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kumulativno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razdoblju 2021.-2030. 101,8 ktCO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tc>
      </w:tr>
      <w:tr w:rsidR="005E13F9" w:rsidRPr="00D60728" w:rsidTr="005E13F9">
        <w:trPr>
          <w:trHeight w:val="1020"/>
        </w:trPr>
        <w:tc>
          <w:tcPr>
            <w:tcW w:w="1129" w:type="dxa"/>
            <w:vMerge/>
            <w:vAlign w:val="center"/>
            <w:hideMark/>
          </w:tcPr>
          <w:p w:rsidR="005E13F9" w:rsidRPr="00D60728" w:rsidRDefault="005E13F9" w:rsidP="00BF7DCC">
            <w:pPr>
              <w:spacing w:line="240" w:lineRule="auto"/>
              <w:jc w:val="left"/>
              <w:rPr>
                <w:rFonts w:ascii="Times New Roman" w:hAnsi="Times New Roman"/>
                <w:sz w:val="20"/>
                <w:szCs w:val="20"/>
              </w:rPr>
            </w:pPr>
          </w:p>
        </w:tc>
        <w:tc>
          <w:tcPr>
            <w:tcW w:w="1418" w:type="dxa"/>
            <w:vAlign w:val="center"/>
          </w:tcPr>
          <w:p w:rsidR="005E13F9" w:rsidRPr="00D60728" w:rsidRDefault="005E13F9"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5E13F9" w:rsidRPr="00D60728" w:rsidRDefault="005E13F9"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Ova mjera će se pratiti metodom procijene pomoću Sustava za praćenje, mjerenje i verifikaciju ušteda energije (SMIV).</w:t>
            </w:r>
          </w:p>
        </w:tc>
      </w:tr>
    </w:tbl>
    <w:p w:rsidR="00D60728" w:rsidRPr="00D60728" w:rsidRDefault="00D60728" w:rsidP="00BF7DCC">
      <w:pPr>
        <w:spacing w:line="240" w:lineRule="auto"/>
      </w:pPr>
    </w:p>
    <w:p w:rsidR="00D60728" w:rsidRPr="00D60728" w:rsidRDefault="00D60728" w:rsidP="00BF7DCC">
      <w:pPr>
        <w:pStyle w:val="Caption"/>
        <w:keepNext/>
        <w:spacing w:after="0" w:line="240" w:lineRule="auto"/>
      </w:pPr>
    </w:p>
    <w:p w:rsidR="00ED1A04" w:rsidRDefault="00ED1A04" w:rsidP="00BF7DCC">
      <w:pPr>
        <w:spacing w:line="240" w:lineRule="auto"/>
      </w:pPr>
      <w:r>
        <w:br w:type="page"/>
      </w:r>
    </w:p>
    <w:tbl>
      <w:tblPr>
        <w:tblStyle w:val="TableGrid"/>
        <w:tblW w:w="9175" w:type="dxa"/>
        <w:tblLayout w:type="fixed"/>
        <w:tblLook w:val="04A0" w:firstRow="1" w:lastRow="0" w:firstColumn="1" w:lastColumn="0" w:noHBand="0" w:noVBand="1"/>
      </w:tblPr>
      <w:tblGrid>
        <w:gridCol w:w="1129"/>
        <w:gridCol w:w="1418"/>
        <w:gridCol w:w="6628"/>
      </w:tblGrid>
      <w:tr w:rsidR="00D60728" w:rsidRPr="00707212" w:rsidTr="0067104F">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Razvoj infrastrukture za alternativna goriva</w:t>
            </w:r>
          </w:p>
        </w:tc>
      </w:tr>
      <w:tr w:rsidR="00D60728" w:rsidRPr="00D60728" w:rsidTr="0067104F">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MTR-7</w:t>
            </w:r>
          </w:p>
        </w:tc>
      </w:tr>
      <w:tr w:rsidR="00D60728" w:rsidRPr="00D60728" w:rsidTr="0067104F">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D60728" w:rsidRPr="00D60728" w:rsidTr="0067104F">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67104F">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67104F">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67104F">
              <w:rPr>
                <w:rFonts w:ascii="Times New Roman" w:hAnsi="Times New Roman"/>
                <w:i/>
                <w:iCs/>
                <w:sz w:val="20"/>
                <w:szCs w:val="20"/>
              </w:rPr>
              <w:t>24</w:t>
            </w:r>
            <w:r w:rsidRPr="00D60728">
              <w:rPr>
                <w:rFonts w:ascii="Times New Roman" w:hAnsi="Times New Roman"/>
                <w:i/>
                <w:iCs/>
                <w:sz w:val="20"/>
                <w:szCs w:val="20"/>
              </w:rPr>
              <w:t>.</w:t>
            </w:r>
          </w:p>
        </w:tc>
      </w:tr>
      <w:tr w:rsidR="00D60728" w:rsidRPr="00D60728" w:rsidTr="0067104F">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Olakšati prihvaćanje alternativnih goriva od strane korisnika/potrošača jačanjem infrastrukture za distribuciju alternativnih goriva i provedbom zajedničkih tehničkih specifikacija za ovu infrastrukturu</w:t>
            </w:r>
          </w:p>
        </w:tc>
      </w:tr>
      <w:tr w:rsidR="0067104F" w:rsidRPr="00D60728" w:rsidTr="00F9270E">
        <w:trPr>
          <w:trHeight w:val="3685"/>
        </w:trPr>
        <w:tc>
          <w:tcPr>
            <w:tcW w:w="1129" w:type="dxa"/>
            <w:vMerge/>
            <w:vAlign w:val="center"/>
          </w:tcPr>
          <w:p w:rsidR="0067104F" w:rsidRPr="00D60728" w:rsidRDefault="0067104F" w:rsidP="00BF7DCC">
            <w:pPr>
              <w:spacing w:line="240" w:lineRule="auto"/>
              <w:jc w:val="left"/>
              <w:rPr>
                <w:rFonts w:ascii="Times New Roman" w:hAnsi="Times New Roman"/>
                <w:sz w:val="20"/>
                <w:szCs w:val="20"/>
              </w:rPr>
            </w:pPr>
          </w:p>
        </w:tc>
        <w:tc>
          <w:tcPr>
            <w:tcW w:w="1418" w:type="dxa"/>
            <w:shd w:val="clear" w:color="auto" w:fill="auto"/>
            <w:vAlign w:val="center"/>
          </w:tcPr>
          <w:p w:rsidR="0067104F" w:rsidRPr="00D60728" w:rsidRDefault="0067104F"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shd w:val="clear" w:color="auto" w:fill="auto"/>
            <w:vAlign w:val="center"/>
          </w:tcPr>
          <w:p w:rsidR="0067104F" w:rsidRPr="00D60728" w:rsidRDefault="0067104F" w:rsidP="00BF7DCC">
            <w:pPr>
              <w:spacing w:line="240" w:lineRule="auto"/>
              <w:rPr>
                <w:rFonts w:ascii="Times New Roman" w:hAnsi="Times New Roman"/>
                <w:i/>
                <w:iCs/>
                <w:sz w:val="20"/>
                <w:szCs w:val="20"/>
              </w:rPr>
            </w:pPr>
            <w:r w:rsidRPr="00D60728">
              <w:rPr>
                <w:rFonts w:ascii="Times New Roman" w:hAnsi="Times New Roman"/>
                <w:i/>
                <w:iCs/>
                <w:sz w:val="20"/>
                <w:szCs w:val="20"/>
              </w:rPr>
              <w:t>Ovom infrastrukturnom mjerom se neće direktno utjecati na smanjenje potrošnje goriva u prometu, no svakako je razvoj infrastrukture nužan preduvjet razvoju tržišta vozila i plovila koja koriste električnu energiju, SPP/SBP, UPP/UBP te vodik u Hrvatskoj.</w:t>
            </w:r>
          </w:p>
          <w:p w:rsidR="0067104F" w:rsidRPr="00D60728" w:rsidRDefault="0067104F"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Poticajne mjere sufinanciranja infrastrukture bit će prvenstveno orijentirane na alternativna goriva za koja je procjena postojećeg stanja pokazala nedovoljnu razvijenost infrastrukture te će biti vremenski ograničene do trenutka kad praćenje stanja pokaže minimalnu pokrivenost infrastrukturom. Minimalnom pokrivenosti infrastrukture smatrat će se ona koja odgovara ciljevima minimalne infrastrukture iz NOP-a. </w:t>
            </w:r>
          </w:p>
          <w:p w:rsidR="0067104F" w:rsidRPr="00D60728" w:rsidRDefault="0067104F" w:rsidP="00BF7DCC">
            <w:pPr>
              <w:spacing w:line="240" w:lineRule="auto"/>
              <w:rPr>
                <w:rFonts w:ascii="Times New Roman" w:hAnsi="Times New Roman"/>
                <w:i/>
                <w:iCs/>
                <w:sz w:val="20"/>
                <w:szCs w:val="20"/>
              </w:rPr>
            </w:pPr>
            <w:r w:rsidRPr="00D60728">
              <w:rPr>
                <w:rFonts w:ascii="Times New Roman" w:hAnsi="Times New Roman"/>
                <w:i/>
                <w:iCs/>
                <w:sz w:val="20"/>
                <w:szCs w:val="20"/>
              </w:rPr>
              <w:t>Osim navedenog, mjera predviđa uspostavu centralnog registra infrastrukture za alternativna goriva koji će olakšati korisničko iskustvo vozačima te u konačnici omogućiti realan uvid u potrošnju energije za analitičke potrebe.</w:t>
            </w:r>
          </w:p>
        </w:tc>
      </w:tr>
      <w:tr w:rsidR="00D60728" w:rsidRPr="00D60728" w:rsidTr="00240F6E">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shd w:val="clear" w:color="auto" w:fill="auto"/>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D60728" w:rsidRPr="00D60728" w:rsidRDefault="00D60728" w:rsidP="00BF7DCC">
            <w:pPr>
              <w:pStyle w:val="ListParagraph"/>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U okviru mjere provest će se aktivnosti sufinanciranja infrastrukture za distribuciju alternativnih goriva putem javnih poziva FZOEU-a.</w:t>
            </w:r>
          </w:p>
        </w:tc>
      </w:tr>
      <w:tr w:rsidR="0067104F" w:rsidRPr="00D60728" w:rsidTr="00240F6E">
        <w:trPr>
          <w:trHeight w:val="624"/>
        </w:trPr>
        <w:tc>
          <w:tcPr>
            <w:tcW w:w="1129" w:type="dxa"/>
            <w:vMerge/>
            <w:vAlign w:val="center"/>
            <w:hideMark/>
          </w:tcPr>
          <w:p w:rsidR="0067104F" w:rsidRPr="00D60728" w:rsidRDefault="0067104F" w:rsidP="00BF7DCC">
            <w:pPr>
              <w:spacing w:line="240" w:lineRule="auto"/>
              <w:jc w:val="left"/>
              <w:rPr>
                <w:rFonts w:ascii="Times New Roman" w:hAnsi="Times New Roman"/>
                <w:sz w:val="20"/>
                <w:szCs w:val="20"/>
              </w:rPr>
            </w:pPr>
          </w:p>
        </w:tc>
        <w:tc>
          <w:tcPr>
            <w:tcW w:w="1418" w:type="dxa"/>
            <w:shd w:val="clear" w:color="auto" w:fill="auto"/>
            <w:vAlign w:val="center"/>
            <w:hideMark/>
          </w:tcPr>
          <w:p w:rsidR="0067104F" w:rsidRPr="00D60728" w:rsidRDefault="0067104F"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67104F" w:rsidRDefault="0067104F" w:rsidP="00BF7DCC">
            <w:pPr>
              <w:spacing w:line="240" w:lineRule="auto"/>
              <w:rPr>
                <w:rFonts w:ascii="Times New Roman" w:hAnsi="Times New Roman"/>
                <w:i/>
                <w:iCs/>
                <w:sz w:val="20"/>
                <w:szCs w:val="20"/>
              </w:rPr>
            </w:pPr>
            <w:r w:rsidRPr="00D60728">
              <w:rPr>
                <w:rFonts w:ascii="Times New Roman" w:hAnsi="Times New Roman"/>
                <w:i/>
                <w:iCs/>
                <w:sz w:val="20"/>
                <w:szCs w:val="20"/>
              </w:rPr>
              <w:t>FZOEU</w:t>
            </w:r>
          </w:p>
          <w:p w:rsidR="0067104F" w:rsidRPr="00D60728" w:rsidRDefault="0067104F" w:rsidP="00BF7DCC">
            <w:pPr>
              <w:spacing w:line="240" w:lineRule="auto"/>
              <w:rPr>
                <w:rFonts w:ascii="Times New Roman" w:hAnsi="Times New Roman"/>
                <w:i/>
                <w:iCs/>
                <w:sz w:val="20"/>
                <w:szCs w:val="20"/>
              </w:rPr>
            </w:pPr>
            <w:r w:rsidRPr="00D60728">
              <w:rPr>
                <w:rFonts w:ascii="Times New Roman" w:hAnsi="Times New Roman"/>
                <w:i/>
                <w:iCs/>
                <w:sz w:val="20"/>
                <w:szCs w:val="20"/>
              </w:rPr>
              <w:t>MMPI</w:t>
            </w:r>
          </w:p>
        </w:tc>
      </w:tr>
      <w:tr w:rsidR="00D60728" w:rsidRPr="00D60728" w:rsidTr="00240F6E">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shd w:val="clear" w:color="auto" w:fill="auto"/>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shd w:val="clear" w:color="auto" w:fill="auto"/>
            <w:vAlign w:val="center"/>
          </w:tcPr>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370 milijuna kuna</w:t>
            </w:r>
          </w:p>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FZOEU iz sredstava stečenim od prodaje emisijskih jedinica putem dražbe, iz sredstava prikupljenih od posebne naknade za vozila te od posebne naknade za okoliš radi ne stavljanja biogoriva na tržište, Modernizacijskog fonda, ESI fondova i drugih izvora</w:t>
            </w:r>
          </w:p>
        </w:tc>
      </w:tr>
      <w:tr w:rsidR="00240F6E" w:rsidRPr="00D60728" w:rsidTr="00240F6E">
        <w:trPr>
          <w:trHeight w:val="454"/>
        </w:trPr>
        <w:tc>
          <w:tcPr>
            <w:tcW w:w="1129" w:type="dxa"/>
            <w:vAlign w:val="center"/>
            <w:hideMark/>
          </w:tcPr>
          <w:p w:rsidR="00240F6E" w:rsidRPr="00D60728" w:rsidRDefault="00240F6E"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240F6E" w:rsidRPr="00D60728" w:rsidRDefault="00240F6E"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240F6E" w:rsidRPr="00D60728" w:rsidRDefault="00240F6E"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Akceleracija razvoja tržišta alternativnih energenata</w:t>
            </w:r>
          </w:p>
        </w:tc>
      </w:tr>
    </w:tbl>
    <w:p w:rsidR="00D60728" w:rsidRPr="00D60728" w:rsidRDefault="00D60728" w:rsidP="00BF7DCC">
      <w:pPr>
        <w:spacing w:line="240" w:lineRule="auto"/>
      </w:pPr>
    </w:p>
    <w:p w:rsidR="00D60728" w:rsidRPr="00D60728" w:rsidRDefault="00D60728" w:rsidP="00BF7DCC">
      <w:pPr>
        <w:spacing w:line="240" w:lineRule="auto"/>
      </w:pPr>
    </w:p>
    <w:p w:rsidR="00D60728" w:rsidRPr="00D60728" w:rsidRDefault="00D60728" w:rsidP="00BF7DCC">
      <w:pPr>
        <w:spacing w:line="240" w:lineRule="auto"/>
      </w:pPr>
    </w:p>
    <w:p w:rsidR="00D60728" w:rsidRPr="00D60728" w:rsidRDefault="00D60728" w:rsidP="00BF7DCC">
      <w:pPr>
        <w:pStyle w:val="Caption"/>
        <w:keepNext/>
        <w:spacing w:after="0" w:line="240" w:lineRule="auto"/>
      </w:pPr>
    </w:p>
    <w:p w:rsidR="00240F6E" w:rsidRDefault="00240F6E" w:rsidP="00BF7DCC">
      <w:pPr>
        <w:spacing w:line="240" w:lineRule="auto"/>
      </w:pPr>
      <w:r>
        <w:br w:type="page"/>
      </w:r>
    </w:p>
    <w:tbl>
      <w:tblPr>
        <w:tblStyle w:val="TableGrid"/>
        <w:tblW w:w="9175" w:type="dxa"/>
        <w:tblLayout w:type="fixed"/>
        <w:tblLook w:val="04A0" w:firstRow="1" w:lastRow="0" w:firstColumn="1" w:lastColumn="0" w:noHBand="0" w:noVBand="1"/>
      </w:tblPr>
      <w:tblGrid>
        <w:gridCol w:w="1129"/>
        <w:gridCol w:w="1418"/>
        <w:gridCol w:w="6628"/>
      </w:tblGrid>
      <w:tr w:rsidR="00D60728" w:rsidRPr="00707212" w:rsidTr="00F9270E">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Poticanje integriranog teretnog prometa</w:t>
            </w:r>
          </w:p>
        </w:tc>
      </w:tr>
      <w:tr w:rsidR="00D60728" w:rsidRPr="00D60728" w:rsidTr="00F9270E">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MTR-8</w:t>
            </w:r>
          </w:p>
        </w:tc>
      </w:tr>
      <w:tr w:rsidR="00D60728" w:rsidRPr="00D60728" w:rsidTr="00F9270E">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D60728" w:rsidRPr="00D60728" w:rsidTr="00F9270E">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F9270E">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510A6C">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shd w:val="clear" w:color="auto" w:fill="auto"/>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F9270E">
              <w:rPr>
                <w:rFonts w:ascii="Times New Roman" w:hAnsi="Times New Roman"/>
                <w:i/>
                <w:iCs/>
                <w:sz w:val="20"/>
                <w:szCs w:val="20"/>
              </w:rPr>
              <w:t>24</w:t>
            </w:r>
            <w:r w:rsidRPr="00D60728">
              <w:rPr>
                <w:rFonts w:ascii="Times New Roman" w:hAnsi="Times New Roman"/>
                <w:i/>
                <w:iCs/>
                <w:sz w:val="20"/>
                <w:szCs w:val="20"/>
              </w:rPr>
              <w:t>.</w:t>
            </w:r>
          </w:p>
        </w:tc>
      </w:tr>
      <w:tr w:rsidR="00F9270E" w:rsidRPr="00D60728" w:rsidTr="00510A6C">
        <w:trPr>
          <w:trHeight w:val="1474"/>
        </w:trPr>
        <w:tc>
          <w:tcPr>
            <w:tcW w:w="1129" w:type="dxa"/>
            <w:vMerge/>
            <w:vAlign w:val="center"/>
            <w:hideMark/>
          </w:tcPr>
          <w:p w:rsidR="00F9270E" w:rsidRPr="00D60728" w:rsidRDefault="00F9270E" w:rsidP="00BF7DCC">
            <w:pPr>
              <w:spacing w:line="240" w:lineRule="auto"/>
              <w:jc w:val="left"/>
              <w:rPr>
                <w:rFonts w:ascii="Times New Roman" w:hAnsi="Times New Roman"/>
                <w:sz w:val="20"/>
                <w:szCs w:val="20"/>
              </w:rPr>
            </w:pPr>
          </w:p>
        </w:tc>
        <w:tc>
          <w:tcPr>
            <w:tcW w:w="1418" w:type="dxa"/>
            <w:vAlign w:val="center"/>
          </w:tcPr>
          <w:p w:rsidR="00F9270E" w:rsidRPr="00D60728" w:rsidRDefault="00F9270E" w:rsidP="00BF7DCC">
            <w:pPr>
              <w:spacing w:line="240" w:lineRule="auto"/>
              <w:jc w:val="left"/>
              <w:rPr>
                <w:rFonts w:ascii="Times New Roman" w:hAnsi="Times New Roman"/>
                <w:sz w:val="20"/>
                <w:szCs w:val="20"/>
              </w:rPr>
            </w:pPr>
            <w:r>
              <w:rPr>
                <w:rFonts w:ascii="Times New Roman" w:hAnsi="Times New Roman"/>
                <w:sz w:val="20"/>
                <w:szCs w:val="20"/>
              </w:rPr>
              <w:t>Cilj i o</w:t>
            </w:r>
            <w:r w:rsidRPr="00D60728">
              <w:rPr>
                <w:rFonts w:ascii="Times New Roman" w:hAnsi="Times New Roman"/>
                <w:sz w:val="20"/>
                <w:szCs w:val="20"/>
              </w:rPr>
              <w:t>pis</w:t>
            </w:r>
          </w:p>
        </w:tc>
        <w:tc>
          <w:tcPr>
            <w:tcW w:w="6628" w:type="dxa"/>
            <w:shd w:val="clear" w:color="auto" w:fill="auto"/>
            <w:vAlign w:val="center"/>
          </w:tcPr>
          <w:p w:rsidR="00F9270E" w:rsidRPr="00D60728" w:rsidRDefault="00F9270E" w:rsidP="00BF7DCC">
            <w:pPr>
              <w:spacing w:line="240" w:lineRule="auto"/>
              <w:rPr>
                <w:rFonts w:ascii="Times New Roman" w:hAnsi="Times New Roman"/>
                <w:i/>
                <w:iCs/>
                <w:sz w:val="20"/>
                <w:szCs w:val="20"/>
              </w:rPr>
            </w:pPr>
            <w:r w:rsidRPr="00D60728">
              <w:rPr>
                <w:rFonts w:ascii="Times New Roman" w:hAnsi="Times New Roman"/>
                <w:i/>
                <w:iCs/>
                <w:sz w:val="20"/>
                <w:szCs w:val="20"/>
              </w:rPr>
              <w:t>Mjera je uređena Zakonom o kombiniranom prijevozu tereta (NN 120/16), odnosno Pravilnikom o poticajima u kombiniranom prijevozu tereta (NN 5/18), kojim su propisani poticaji u kombiniranom prijevozu tereta željeznicom, unutarnjim vodama ili morem, te poticaji u kombiniranom prijevozu tereta cestovnom dionicom.</w:t>
            </w:r>
          </w:p>
        </w:tc>
      </w:tr>
      <w:tr w:rsidR="00D60728" w:rsidRPr="00D60728" w:rsidTr="00510A6C">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D60728" w:rsidRPr="00D60728" w:rsidRDefault="00D60728" w:rsidP="00BF7DCC">
            <w:pPr>
              <w:pStyle w:val="ListParagraph"/>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Nastavit će se provedba u skladu sa Zakonom.,</w:t>
            </w:r>
          </w:p>
          <w:p w:rsidR="00D60728" w:rsidRPr="00D60728" w:rsidRDefault="00D60728" w:rsidP="00BF7DCC">
            <w:pPr>
              <w:pStyle w:val="ListParagraph"/>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Izradit će se analiza kako bi se ustvrdila potreba za izmjenama i unaprjeđenjem postojećeg sustava. Pri tome će se analizirati mogućnost uključivanja ostalih prijevoznih cestovnih sredstava (osim kamiona) u sustav poticanja.</w:t>
            </w:r>
          </w:p>
        </w:tc>
      </w:tr>
      <w:tr w:rsidR="00F9270E" w:rsidRPr="00D60728" w:rsidTr="00F9270E">
        <w:trPr>
          <w:trHeight w:val="454"/>
        </w:trPr>
        <w:tc>
          <w:tcPr>
            <w:tcW w:w="1129" w:type="dxa"/>
            <w:vMerge/>
            <w:vAlign w:val="center"/>
            <w:hideMark/>
          </w:tcPr>
          <w:p w:rsidR="00F9270E" w:rsidRPr="00D60728" w:rsidRDefault="00F9270E" w:rsidP="00BF7DCC">
            <w:pPr>
              <w:spacing w:line="240" w:lineRule="auto"/>
              <w:jc w:val="left"/>
              <w:rPr>
                <w:rFonts w:ascii="Times New Roman" w:hAnsi="Times New Roman"/>
                <w:sz w:val="20"/>
                <w:szCs w:val="20"/>
              </w:rPr>
            </w:pPr>
          </w:p>
        </w:tc>
        <w:tc>
          <w:tcPr>
            <w:tcW w:w="1418" w:type="dxa"/>
            <w:vAlign w:val="center"/>
            <w:hideMark/>
          </w:tcPr>
          <w:p w:rsidR="00F9270E" w:rsidRPr="00D60728" w:rsidRDefault="00F9270E"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F9270E" w:rsidRPr="00D60728" w:rsidRDefault="00F9270E" w:rsidP="00BF7DCC">
            <w:pPr>
              <w:spacing w:line="240" w:lineRule="auto"/>
              <w:rPr>
                <w:rFonts w:ascii="Times New Roman" w:hAnsi="Times New Roman"/>
                <w:i/>
                <w:iCs/>
                <w:sz w:val="20"/>
                <w:szCs w:val="20"/>
              </w:rPr>
            </w:pPr>
            <w:r>
              <w:rPr>
                <w:rFonts w:ascii="Times New Roman" w:hAnsi="Times New Roman"/>
                <w:i/>
                <w:iCs/>
                <w:sz w:val="20"/>
                <w:szCs w:val="20"/>
              </w:rPr>
              <w:t>MMPI</w:t>
            </w:r>
          </w:p>
        </w:tc>
      </w:tr>
      <w:tr w:rsidR="00D60728" w:rsidRPr="00D60728" w:rsidTr="00F9270E">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Naknade su predviđene Pravilnikom o poticajima u kombiniranom prijevozu tereta, a osiguravaju se iz državnog proračuna.</w:t>
            </w:r>
          </w:p>
        </w:tc>
      </w:tr>
      <w:tr w:rsidR="00F9270E" w:rsidRPr="00D60728" w:rsidTr="00F9270E">
        <w:trPr>
          <w:trHeight w:val="850"/>
        </w:trPr>
        <w:tc>
          <w:tcPr>
            <w:tcW w:w="1129" w:type="dxa"/>
            <w:vMerge w:val="restart"/>
            <w:vAlign w:val="center"/>
            <w:hideMark/>
          </w:tcPr>
          <w:p w:rsidR="00F9270E" w:rsidRPr="00D60728" w:rsidRDefault="00F9270E"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F9270E" w:rsidRPr="00D60728" w:rsidRDefault="00F9270E"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F9270E" w:rsidRPr="00D60728" w:rsidRDefault="00F9270E"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ušteda energije, </w:t>
            </w:r>
          </w:p>
          <w:p w:rsidR="00F9270E" w:rsidRPr="00D60728" w:rsidRDefault="00F9270E"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emisije 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p w:rsidR="00F9270E" w:rsidRPr="00D60728" w:rsidRDefault="00F9270E"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emisija onečišćujućih tvari.</w:t>
            </w:r>
          </w:p>
        </w:tc>
      </w:tr>
      <w:tr w:rsidR="00F9270E" w:rsidRPr="00D60728" w:rsidTr="00F9270E">
        <w:trPr>
          <w:trHeight w:val="1020"/>
        </w:trPr>
        <w:tc>
          <w:tcPr>
            <w:tcW w:w="1129" w:type="dxa"/>
            <w:vMerge/>
            <w:vAlign w:val="center"/>
            <w:hideMark/>
          </w:tcPr>
          <w:p w:rsidR="00F9270E" w:rsidRPr="00D60728" w:rsidRDefault="00F9270E" w:rsidP="00BF7DCC">
            <w:pPr>
              <w:spacing w:line="240" w:lineRule="auto"/>
              <w:jc w:val="left"/>
              <w:rPr>
                <w:rFonts w:ascii="Times New Roman" w:hAnsi="Times New Roman"/>
                <w:sz w:val="20"/>
                <w:szCs w:val="20"/>
              </w:rPr>
            </w:pPr>
          </w:p>
        </w:tc>
        <w:tc>
          <w:tcPr>
            <w:tcW w:w="1418" w:type="dxa"/>
            <w:vAlign w:val="center"/>
          </w:tcPr>
          <w:p w:rsidR="00F9270E" w:rsidRPr="00D60728" w:rsidRDefault="00F9270E"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F9270E" w:rsidRPr="00D60728" w:rsidRDefault="00F9270E"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Izvješća o dodijeljenim poticajima</w:t>
            </w:r>
          </w:p>
        </w:tc>
      </w:tr>
    </w:tbl>
    <w:p w:rsidR="00D60728" w:rsidRPr="00D60728" w:rsidRDefault="00D60728" w:rsidP="00BF7DCC">
      <w:pPr>
        <w:spacing w:line="240" w:lineRule="auto"/>
      </w:pPr>
    </w:p>
    <w:p w:rsidR="003E6923" w:rsidRDefault="003E6923" w:rsidP="00BF7DCC">
      <w:pPr>
        <w:spacing w:line="240" w:lineRule="auto"/>
      </w:pPr>
    </w:p>
    <w:tbl>
      <w:tblPr>
        <w:tblStyle w:val="TableGrid"/>
        <w:tblW w:w="9175" w:type="dxa"/>
        <w:tblLayout w:type="fixed"/>
        <w:tblLook w:val="04A0" w:firstRow="1" w:lastRow="0" w:firstColumn="1" w:lastColumn="0" w:noHBand="0" w:noVBand="1"/>
      </w:tblPr>
      <w:tblGrid>
        <w:gridCol w:w="1129"/>
        <w:gridCol w:w="1418"/>
        <w:gridCol w:w="6628"/>
      </w:tblGrid>
      <w:tr w:rsidR="00D60728" w:rsidRPr="00707212" w:rsidTr="003E6923">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Poticanje razvoja održivog integriranog prometa na nacionalnoj razini</w:t>
            </w:r>
          </w:p>
        </w:tc>
      </w:tr>
      <w:tr w:rsidR="00D60728" w:rsidRPr="00D60728" w:rsidTr="003E6923">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MTR-9</w:t>
            </w:r>
          </w:p>
        </w:tc>
      </w:tr>
      <w:tr w:rsidR="00D60728" w:rsidRPr="00D60728" w:rsidTr="003E6923">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i organizacijska mjera</w:t>
            </w:r>
          </w:p>
        </w:tc>
      </w:tr>
      <w:tr w:rsidR="00D60728" w:rsidRPr="00D60728" w:rsidTr="003E6923">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DE472A">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3E6923">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vAlign w:val="center"/>
            <w:hideMark/>
          </w:tcPr>
          <w:p w:rsidR="00D60728" w:rsidRPr="00D60728" w:rsidRDefault="00DE472A" w:rsidP="00BF7DCC">
            <w:pPr>
              <w:spacing w:line="240" w:lineRule="auto"/>
              <w:rPr>
                <w:rFonts w:ascii="Times New Roman" w:hAnsi="Times New Roman"/>
                <w:i/>
                <w:iCs/>
                <w:sz w:val="20"/>
                <w:szCs w:val="20"/>
              </w:rPr>
            </w:pPr>
            <w:r>
              <w:rPr>
                <w:rFonts w:ascii="Times New Roman" w:hAnsi="Times New Roman"/>
                <w:i/>
                <w:iCs/>
                <w:sz w:val="20"/>
                <w:szCs w:val="20"/>
              </w:rPr>
              <w:t>Kraj: 2024</w:t>
            </w:r>
            <w:r w:rsidR="00D60728" w:rsidRPr="00D60728">
              <w:rPr>
                <w:rFonts w:ascii="Times New Roman" w:hAnsi="Times New Roman"/>
                <w:i/>
                <w:iCs/>
                <w:sz w:val="20"/>
                <w:szCs w:val="20"/>
              </w:rPr>
              <w:t>.</w:t>
            </w:r>
          </w:p>
        </w:tc>
      </w:tr>
      <w:tr w:rsidR="00DE472A" w:rsidRPr="00D60728" w:rsidTr="00DE472A">
        <w:trPr>
          <w:trHeight w:val="5953"/>
        </w:trPr>
        <w:tc>
          <w:tcPr>
            <w:tcW w:w="1129" w:type="dxa"/>
            <w:vMerge/>
            <w:vAlign w:val="center"/>
            <w:hideMark/>
          </w:tcPr>
          <w:p w:rsidR="00DE472A" w:rsidRPr="00D60728" w:rsidRDefault="00DE472A" w:rsidP="00BF7DCC">
            <w:pPr>
              <w:spacing w:line="240" w:lineRule="auto"/>
              <w:jc w:val="left"/>
              <w:rPr>
                <w:rFonts w:ascii="Times New Roman" w:hAnsi="Times New Roman"/>
                <w:sz w:val="20"/>
                <w:szCs w:val="20"/>
              </w:rPr>
            </w:pPr>
          </w:p>
        </w:tc>
        <w:tc>
          <w:tcPr>
            <w:tcW w:w="1418" w:type="dxa"/>
            <w:vAlign w:val="center"/>
          </w:tcPr>
          <w:p w:rsidR="00DE472A" w:rsidRPr="00D60728" w:rsidRDefault="00DE472A" w:rsidP="00BF7DCC">
            <w:pPr>
              <w:spacing w:line="240" w:lineRule="auto"/>
              <w:jc w:val="left"/>
              <w:rPr>
                <w:rFonts w:ascii="Times New Roman" w:hAnsi="Times New Roman"/>
                <w:sz w:val="20"/>
                <w:szCs w:val="20"/>
              </w:rPr>
            </w:pPr>
            <w:r>
              <w:rPr>
                <w:rFonts w:ascii="Times New Roman" w:hAnsi="Times New Roman"/>
                <w:sz w:val="20"/>
                <w:szCs w:val="20"/>
              </w:rPr>
              <w:t>Cilj i o</w:t>
            </w:r>
            <w:r w:rsidRPr="00D60728">
              <w:rPr>
                <w:rFonts w:ascii="Times New Roman" w:hAnsi="Times New Roman"/>
                <w:sz w:val="20"/>
                <w:szCs w:val="20"/>
              </w:rPr>
              <w:t>pis</w:t>
            </w:r>
          </w:p>
        </w:tc>
        <w:tc>
          <w:tcPr>
            <w:tcW w:w="6628" w:type="dxa"/>
            <w:shd w:val="clear" w:color="auto" w:fill="auto"/>
            <w:vAlign w:val="center"/>
          </w:tcPr>
          <w:p w:rsidR="00DE472A" w:rsidRPr="00D60728" w:rsidRDefault="00DE472A" w:rsidP="00BF7DCC">
            <w:pPr>
              <w:spacing w:line="240" w:lineRule="auto"/>
              <w:rPr>
                <w:rFonts w:ascii="Times New Roman" w:hAnsi="Times New Roman"/>
                <w:i/>
                <w:iCs/>
                <w:sz w:val="20"/>
                <w:szCs w:val="20"/>
              </w:rPr>
            </w:pPr>
            <w:r w:rsidRPr="00D60728">
              <w:rPr>
                <w:rFonts w:ascii="Times New Roman" w:hAnsi="Times New Roman"/>
                <w:i/>
                <w:iCs/>
                <w:sz w:val="20"/>
                <w:szCs w:val="20"/>
              </w:rPr>
              <w:t>Mjera prati opće i specifične ciljeve definirane u Strategiji prometnog razvoja Republike Hrvatske (2017. – 2030.) u kontekstu energetske učinkovitosti/integriranosti za željeznički, cestovni, pomorski promet, promet unutarnjim plovnim putovima i gradski, prigradski i regionalni promet (modernizacija pruga, sustava signalizacije, obnova fonda lokomotiva, vagona, flota plovila, logističke integrirane platforme, integrirani javni prijevoz putnika, itd.). Željeznička i generalno multimodalna infrastruktura zaostaju u razvoju u usporedbi s infrastrukturom autocesta kad je riječ o kvaliteti i povezanosti. Planiraju se ulaganja u cilju razvoja održive, integrirane transeuropske prometne mreže koja je otporna na klimatske promjene. U pomorskom prometu i prometu unutarnjim plovnim putovima, Republika Hrvatska će uz savjetovanje s ostalim Državama Članicama, analizirati mogućnosti uvođenja odgovarajućih mehanizama kako bi se osigurala tranzicija prema niskougljičnim rješenjima, naročito u smislu aplikacije alternativnih izvora energije za plovidbu. U tom kontekstu definirat će se akcijski plan za brodarstvo koji će između ostaloga definirati i odgovarajuće emisijske standarde za nadolazeće razdoblje. Isto tako, u zračnom prometu, Republika Hrvatska će definirati plan i razraditi detaljne smjernice za postizanje značajnog smanjenja emisija stakleničkih plinova. Sve aktivnosti vezane za definiranje plana i smjernica će se razvijati zajednički na razini EU, uvažavajući stajališta koja će se zauzeti na razini Organizacije međunarodnog civilnog zrakoplovstva (ICAO).</w:t>
            </w:r>
          </w:p>
        </w:tc>
      </w:tr>
      <w:tr w:rsidR="00D60728" w:rsidRPr="00D60728" w:rsidTr="003E6923">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D60728" w:rsidRPr="00D60728" w:rsidRDefault="00D60728" w:rsidP="00BF7DCC">
            <w:pPr>
              <w:pStyle w:val="ListParagraph"/>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U okviru mjere razradit će se i provesti aktivnosti predviđene Strategijom</w:t>
            </w:r>
            <w:r w:rsidR="00DE472A">
              <w:rPr>
                <w:rFonts w:ascii="Times New Roman" w:hAnsi="Times New Roman"/>
                <w:i/>
                <w:sz w:val="20"/>
                <w:szCs w:val="20"/>
              </w:rPr>
              <w:t xml:space="preserve"> </w:t>
            </w:r>
            <w:r w:rsidR="00DE472A" w:rsidRPr="00D60728">
              <w:rPr>
                <w:rFonts w:ascii="Times New Roman" w:hAnsi="Times New Roman"/>
                <w:i/>
                <w:iCs/>
                <w:sz w:val="20"/>
                <w:szCs w:val="20"/>
              </w:rPr>
              <w:t>prometnog razvoja Republike Hrvatske (2017. – 2030.)</w:t>
            </w:r>
            <w:r w:rsidRPr="00D60728">
              <w:rPr>
                <w:rFonts w:ascii="Times New Roman" w:hAnsi="Times New Roman"/>
                <w:i/>
                <w:sz w:val="20"/>
                <w:szCs w:val="20"/>
              </w:rPr>
              <w:t>.</w:t>
            </w:r>
          </w:p>
        </w:tc>
      </w:tr>
      <w:tr w:rsidR="00DE472A" w:rsidRPr="00D60728" w:rsidTr="00DE472A">
        <w:trPr>
          <w:trHeight w:val="454"/>
        </w:trPr>
        <w:tc>
          <w:tcPr>
            <w:tcW w:w="1129" w:type="dxa"/>
            <w:vMerge/>
            <w:vAlign w:val="center"/>
            <w:hideMark/>
          </w:tcPr>
          <w:p w:rsidR="00DE472A" w:rsidRPr="00D60728" w:rsidRDefault="00DE472A" w:rsidP="00BF7DCC">
            <w:pPr>
              <w:spacing w:line="240" w:lineRule="auto"/>
              <w:jc w:val="left"/>
              <w:rPr>
                <w:rFonts w:ascii="Times New Roman" w:hAnsi="Times New Roman"/>
                <w:sz w:val="20"/>
                <w:szCs w:val="20"/>
              </w:rPr>
            </w:pPr>
          </w:p>
        </w:tc>
        <w:tc>
          <w:tcPr>
            <w:tcW w:w="1418" w:type="dxa"/>
            <w:vAlign w:val="center"/>
            <w:hideMark/>
          </w:tcPr>
          <w:p w:rsidR="00DE472A" w:rsidRPr="00D60728" w:rsidRDefault="00DE472A"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DE472A" w:rsidRPr="00D60728" w:rsidRDefault="00DE472A" w:rsidP="00BF7DCC">
            <w:pPr>
              <w:spacing w:line="240" w:lineRule="auto"/>
              <w:rPr>
                <w:rFonts w:ascii="Times New Roman" w:hAnsi="Times New Roman"/>
                <w:i/>
                <w:iCs/>
                <w:sz w:val="20"/>
                <w:szCs w:val="20"/>
              </w:rPr>
            </w:pPr>
            <w:r>
              <w:rPr>
                <w:rFonts w:ascii="Times New Roman" w:hAnsi="Times New Roman"/>
                <w:i/>
                <w:iCs/>
                <w:sz w:val="20"/>
                <w:szCs w:val="20"/>
              </w:rPr>
              <w:t>MMPI</w:t>
            </w:r>
          </w:p>
        </w:tc>
      </w:tr>
      <w:tr w:rsidR="00D60728" w:rsidRPr="00D60728" w:rsidTr="003E6923">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ESI fondovi – ovisno o planovima i projektima; Ministarstvo mora, prometa i infrastrukture</w:t>
            </w:r>
          </w:p>
        </w:tc>
      </w:tr>
      <w:tr w:rsidR="00DE472A" w:rsidRPr="00D60728" w:rsidTr="002A3E94">
        <w:trPr>
          <w:trHeight w:val="945"/>
        </w:trPr>
        <w:tc>
          <w:tcPr>
            <w:tcW w:w="1129" w:type="dxa"/>
            <w:vMerge w:val="restart"/>
            <w:vAlign w:val="center"/>
            <w:hideMark/>
          </w:tcPr>
          <w:p w:rsidR="00DE472A" w:rsidRPr="00D60728" w:rsidRDefault="00DE472A"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DE472A" w:rsidRPr="00D60728" w:rsidRDefault="00DE472A"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DE472A" w:rsidRPr="00D60728" w:rsidRDefault="00DE472A"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ušteda energije i smanjenje emisije 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p w:rsidR="00DE472A" w:rsidRPr="00D60728" w:rsidRDefault="00DE472A"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emisija onečišćujućih tvari</w:t>
            </w:r>
          </w:p>
        </w:tc>
      </w:tr>
      <w:tr w:rsidR="00DE472A" w:rsidRPr="00D60728" w:rsidTr="002A3E94">
        <w:trPr>
          <w:trHeight w:val="1120"/>
        </w:trPr>
        <w:tc>
          <w:tcPr>
            <w:tcW w:w="1129" w:type="dxa"/>
            <w:vMerge/>
            <w:vAlign w:val="center"/>
            <w:hideMark/>
          </w:tcPr>
          <w:p w:rsidR="00DE472A" w:rsidRPr="00D60728" w:rsidRDefault="00DE472A" w:rsidP="00BF7DCC">
            <w:pPr>
              <w:spacing w:line="240" w:lineRule="auto"/>
              <w:jc w:val="left"/>
              <w:rPr>
                <w:rFonts w:ascii="Times New Roman" w:hAnsi="Times New Roman"/>
                <w:sz w:val="20"/>
                <w:szCs w:val="20"/>
              </w:rPr>
            </w:pPr>
          </w:p>
        </w:tc>
        <w:tc>
          <w:tcPr>
            <w:tcW w:w="1418" w:type="dxa"/>
            <w:vAlign w:val="center"/>
          </w:tcPr>
          <w:p w:rsidR="00DE472A" w:rsidRPr="00D60728" w:rsidRDefault="00DE472A"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DE472A" w:rsidRPr="00D60728" w:rsidRDefault="00DE472A"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Učinci ove mjere evidentirat će se zasebno po projektima, propisanom TD metodologijom, uz eventualnu nadopunu/razradu nove BU metodologije</w:t>
            </w:r>
          </w:p>
        </w:tc>
      </w:tr>
    </w:tbl>
    <w:p w:rsidR="00D60728" w:rsidRPr="00D60728" w:rsidRDefault="00D60728" w:rsidP="00BF7DCC">
      <w:pPr>
        <w:spacing w:line="240" w:lineRule="auto"/>
      </w:pPr>
    </w:p>
    <w:p w:rsidR="00DE472A" w:rsidRDefault="00DE472A" w:rsidP="00BF7DCC">
      <w:pPr>
        <w:spacing w:line="240" w:lineRule="auto"/>
      </w:pPr>
      <w:r>
        <w:br w:type="page"/>
      </w:r>
    </w:p>
    <w:tbl>
      <w:tblPr>
        <w:tblStyle w:val="TableGrid"/>
        <w:tblW w:w="9175" w:type="dxa"/>
        <w:tblLayout w:type="fixed"/>
        <w:tblLook w:val="04A0" w:firstRow="1" w:lastRow="0" w:firstColumn="1" w:lastColumn="0" w:noHBand="0" w:noVBand="1"/>
      </w:tblPr>
      <w:tblGrid>
        <w:gridCol w:w="1129"/>
        <w:gridCol w:w="1418"/>
        <w:gridCol w:w="6628"/>
      </w:tblGrid>
      <w:tr w:rsidR="00D60728" w:rsidRPr="00707212" w:rsidTr="00DE472A">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8B2519">
              <w:rPr>
                <w:rFonts w:ascii="Times New Roman" w:hAnsi="Times New Roman"/>
                <w:b/>
                <w:i/>
                <w:iCs/>
                <w:highlight w:val="yellow"/>
              </w:rPr>
              <w:t>Promicanje integriranog i inteligentnog prometa i razvoj infrastrukture za alternativna goriva na lokalnoj i područnoj razini</w:t>
            </w:r>
          </w:p>
        </w:tc>
      </w:tr>
      <w:tr w:rsidR="00D60728" w:rsidRPr="00D60728" w:rsidTr="00DE472A">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MTR-10</w:t>
            </w:r>
          </w:p>
        </w:tc>
      </w:tr>
      <w:tr w:rsidR="00D60728" w:rsidRPr="00D60728" w:rsidTr="00DE472A">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i organizacijska mjera</w:t>
            </w:r>
          </w:p>
        </w:tc>
      </w:tr>
      <w:tr w:rsidR="00D60728" w:rsidRPr="00D60728" w:rsidTr="00DE472A">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510A6C">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DE472A">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510A6C">
              <w:rPr>
                <w:rFonts w:ascii="Times New Roman" w:hAnsi="Times New Roman"/>
                <w:i/>
                <w:iCs/>
                <w:sz w:val="20"/>
                <w:szCs w:val="20"/>
              </w:rPr>
              <w:t>24</w:t>
            </w:r>
            <w:r w:rsidRPr="00D60728">
              <w:rPr>
                <w:rFonts w:ascii="Times New Roman" w:hAnsi="Times New Roman"/>
                <w:i/>
                <w:iCs/>
                <w:sz w:val="20"/>
                <w:szCs w:val="20"/>
              </w:rPr>
              <w:t>.</w:t>
            </w:r>
          </w:p>
        </w:tc>
      </w:tr>
      <w:tr w:rsidR="00510A6C" w:rsidRPr="00D60728" w:rsidTr="00C1459E">
        <w:trPr>
          <w:trHeight w:val="5726"/>
        </w:trPr>
        <w:tc>
          <w:tcPr>
            <w:tcW w:w="1129" w:type="dxa"/>
            <w:vMerge/>
            <w:vAlign w:val="center"/>
            <w:hideMark/>
          </w:tcPr>
          <w:p w:rsidR="00510A6C" w:rsidRPr="00D60728" w:rsidRDefault="00510A6C" w:rsidP="00BF7DCC">
            <w:pPr>
              <w:spacing w:line="240" w:lineRule="auto"/>
              <w:jc w:val="left"/>
              <w:rPr>
                <w:rFonts w:ascii="Times New Roman" w:hAnsi="Times New Roman"/>
                <w:sz w:val="20"/>
                <w:szCs w:val="20"/>
              </w:rPr>
            </w:pPr>
          </w:p>
        </w:tc>
        <w:tc>
          <w:tcPr>
            <w:tcW w:w="1418" w:type="dxa"/>
            <w:shd w:val="clear" w:color="auto" w:fill="auto"/>
            <w:vAlign w:val="center"/>
          </w:tcPr>
          <w:p w:rsidR="00510A6C" w:rsidRPr="00D60728" w:rsidRDefault="00510A6C" w:rsidP="00BF7DCC">
            <w:pPr>
              <w:spacing w:line="240" w:lineRule="auto"/>
              <w:jc w:val="left"/>
              <w:rPr>
                <w:rFonts w:ascii="Times New Roman" w:hAnsi="Times New Roman"/>
                <w:sz w:val="20"/>
                <w:szCs w:val="20"/>
              </w:rPr>
            </w:pPr>
            <w:r>
              <w:rPr>
                <w:rFonts w:ascii="Times New Roman" w:hAnsi="Times New Roman"/>
                <w:sz w:val="20"/>
                <w:szCs w:val="20"/>
              </w:rPr>
              <w:t>Cilj i o</w:t>
            </w:r>
            <w:r w:rsidRPr="00D60728">
              <w:rPr>
                <w:rFonts w:ascii="Times New Roman" w:hAnsi="Times New Roman"/>
                <w:sz w:val="20"/>
                <w:szCs w:val="20"/>
              </w:rPr>
              <w:t>pis</w:t>
            </w:r>
          </w:p>
        </w:tc>
        <w:tc>
          <w:tcPr>
            <w:tcW w:w="6628" w:type="dxa"/>
            <w:shd w:val="clear" w:color="auto" w:fill="auto"/>
            <w:vAlign w:val="center"/>
          </w:tcPr>
          <w:p w:rsidR="00510A6C" w:rsidRPr="00D60728" w:rsidRDefault="00510A6C"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Potrebno je promovirati održivi razvoj gradskih prometnih sustava i to kroz </w:t>
            </w:r>
            <w:r w:rsidRPr="008B2519">
              <w:rPr>
                <w:rFonts w:ascii="Times New Roman" w:hAnsi="Times New Roman"/>
                <w:i/>
                <w:iCs/>
                <w:sz w:val="20"/>
                <w:szCs w:val="20"/>
                <w:highlight w:val="yellow"/>
              </w:rPr>
              <w:t>optimiranje logistike prijevoza tereta te inteligentno upravljanje javnim parkirnim površinama</w:t>
            </w:r>
            <w:r w:rsidRPr="00D60728">
              <w:rPr>
                <w:rFonts w:ascii="Times New Roman" w:hAnsi="Times New Roman"/>
                <w:i/>
                <w:iCs/>
                <w:sz w:val="20"/>
                <w:szCs w:val="20"/>
              </w:rPr>
              <w:t xml:space="preserve"> (ICT tehnologije), </w:t>
            </w:r>
            <w:r w:rsidRPr="008B2519">
              <w:rPr>
                <w:rFonts w:ascii="Times New Roman" w:hAnsi="Times New Roman"/>
                <w:i/>
                <w:iCs/>
                <w:sz w:val="20"/>
                <w:szCs w:val="20"/>
                <w:highlight w:val="yellow"/>
              </w:rPr>
              <w:t>uvođenje integriranog prijevoza putnika, uvođenje car-sharing sheme u gradovima, uvođenje nisko-emisijskih zona u gradovima, uvođenje sustava javnih gradskih bicikala</w:t>
            </w:r>
            <w:r w:rsidRPr="00D60728">
              <w:rPr>
                <w:rFonts w:ascii="Times New Roman" w:hAnsi="Times New Roman"/>
                <w:i/>
                <w:iCs/>
                <w:sz w:val="20"/>
                <w:szCs w:val="20"/>
              </w:rPr>
              <w:t xml:space="preserve"> (sa i bez električnog pogona) </w:t>
            </w:r>
            <w:r w:rsidRPr="008B2519">
              <w:rPr>
                <w:rFonts w:ascii="Times New Roman" w:hAnsi="Times New Roman"/>
                <w:i/>
                <w:iCs/>
                <w:sz w:val="20"/>
                <w:szCs w:val="20"/>
                <w:highlight w:val="yellow"/>
              </w:rPr>
              <w:t>i izgradnje pripadajuće biciklističke infrastrukture, inteligentno upravljanje u prometu</w:t>
            </w:r>
            <w:r w:rsidRPr="00D60728">
              <w:rPr>
                <w:rFonts w:ascii="Times New Roman" w:hAnsi="Times New Roman"/>
                <w:i/>
                <w:iCs/>
                <w:sz w:val="20"/>
                <w:szCs w:val="20"/>
              </w:rPr>
              <w:t xml:space="preserve"> (nadogradnja, prilagodba i zamjena zastarjelih signalnih uređaja i opreme, ugradnja napredne prometne opreme i inteligentnih semafora opremljenih autonomnim sustavom napajanja iz obnovljivih izvora, izgradnja i opremanje središnjih operativnih centara za nadzor i upravljanje raskrižjima s postavljenim semaforima). Na lokalnim razinama, nužna </w:t>
            </w:r>
            <w:r w:rsidRPr="008B2519">
              <w:rPr>
                <w:rFonts w:ascii="Times New Roman" w:hAnsi="Times New Roman"/>
                <w:i/>
                <w:iCs/>
                <w:sz w:val="20"/>
                <w:szCs w:val="20"/>
                <w:highlight w:val="yellow"/>
              </w:rPr>
              <w:t>je kontinuirana izrada i provedba Planova održive mobilnosti u gradovima</w:t>
            </w:r>
            <w:r w:rsidRPr="00D60728">
              <w:rPr>
                <w:rFonts w:ascii="Times New Roman" w:hAnsi="Times New Roman"/>
                <w:i/>
                <w:iCs/>
                <w:sz w:val="20"/>
                <w:szCs w:val="20"/>
              </w:rPr>
              <w:t>, odnosno strateških planova koji se nadovezuju na postojeću praksu u planiranju, a uzimaju u obzir integracijske, participacijske i evaluacijske principe kako bi se zadovoljile potrebe stanovnika gradova za mobilnošću, sada i u budućnosti, te osigurala bolja kvaliteta života u gradovima i njihovoj okolini. Aktivnosti će pratiti odgovarajuće informativno-edukativne kampanje. Cilj je ovim mjerama obuhvatiti sve županije, velike gradove (s više od 35.000 stanovnika) te općine i gradove koje zajednički čine geografsku cjelinu s više od 35.000 stanovnika.</w:t>
            </w:r>
          </w:p>
        </w:tc>
      </w:tr>
      <w:tr w:rsidR="00D60728" w:rsidRPr="00D60728" w:rsidTr="00C1459E">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shd w:val="clear" w:color="auto" w:fill="auto"/>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D60728" w:rsidRPr="00D60728" w:rsidRDefault="00D60728" w:rsidP="00BF7DCC">
            <w:pPr>
              <w:pStyle w:val="ListParagraph"/>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U okviru mjere provest će se aktivnosti sufinanciranja putem javnih poziva FZOEU-a kao i aktivnosti koje JLP(R)S-e samostalno poduzimaju u skladu sa svojim planovima održivog razvoja prometnih sustava.</w:t>
            </w:r>
          </w:p>
        </w:tc>
      </w:tr>
      <w:tr w:rsidR="00C1459E" w:rsidRPr="00D60728" w:rsidTr="00C1459E">
        <w:trPr>
          <w:trHeight w:val="680"/>
        </w:trPr>
        <w:tc>
          <w:tcPr>
            <w:tcW w:w="1129" w:type="dxa"/>
            <w:vMerge/>
            <w:vAlign w:val="center"/>
            <w:hideMark/>
          </w:tcPr>
          <w:p w:rsidR="00C1459E" w:rsidRPr="00D60728" w:rsidRDefault="00C1459E" w:rsidP="00BF7DCC">
            <w:pPr>
              <w:spacing w:line="240" w:lineRule="auto"/>
              <w:jc w:val="left"/>
              <w:rPr>
                <w:rFonts w:ascii="Times New Roman" w:hAnsi="Times New Roman"/>
                <w:sz w:val="20"/>
                <w:szCs w:val="20"/>
              </w:rPr>
            </w:pPr>
          </w:p>
        </w:tc>
        <w:tc>
          <w:tcPr>
            <w:tcW w:w="1418" w:type="dxa"/>
            <w:shd w:val="clear" w:color="auto" w:fill="auto"/>
            <w:vAlign w:val="center"/>
            <w:hideMark/>
          </w:tcPr>
          <w:p w:rsidR="00C1459E" w:rsidRPr="00D60728" w:rsidRDefault="00C1459E"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C1459E" w:rsidRDefault="00C1459E" w:rsidP="00BF7DCC">
            <w:pPr>
              <w:spacing w:line="240" w:lineRule="auto"/>
              <w:rPr>
                <w:rFonts w:ascii="Times New Roman" w:hAnsi="Times New Roman"/>
                <w:i/>
                <w:iCs/>
                <w:sz w:val="20"/>
                <w:szCs w:val="20"/>
              </w:rPr>
            </w:pPr>
            <w:r w:rsidRPr="00D60728">
              <w:rPr>
                <w:rFonts w:ascii="Times New Roman" w:hAnsi="Times New Roman"/>
                <w:i/>
                <w:iCs/>
                <w:sz w:val="20"/>
                <w:szCs w:val="20"/>
              </w:rPr>
              <w:t>FZOEU</w:t>
            </w:r>
          </w:p>
          <w:p w:rsidR="00C1459E" w:rsidRPr="00D60728" w:rsidRDefault="00C1459E" w:rsidP="00BF7DCC">
            <w:pPr>
              <w:spacing w:line="240" w:lineRule="auto"/>
              <w:rPr>
                <w:rFonts w:ascii="Times New Roman" w:hAnsi="Times New Roman"/>
                <w:i/>
                <w:iCs/>
                <w:sz w:val="20"/>
                <w:szCs w:val="20"/>
              </w:rPr>
            </w:pPr>
            <w:r w:rsidRPr="008B2519">
              <w:rPr>
                <w:rFonts w:ascii="Times New Roman" w:hAnsi="Times New Roman"/>
                <w:i/>
                <w:iCs/>
                <w:sz w:val="20"/>
                <w:szCs w:val="20"/>
                <w:highlight w:val="yellow"/>
              </w:rPr>
              <w:t>JLP(R)S</w:t>
            </w:r>
          </w:p>
        </w:tc>
      </w:tr>
      <w:tr w:rsidR="00D60728" w:rsidRPr="00D60728" w:rsidTr="00DE472A">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85 milijuna kuna</w:t>
            </w:r>
          </w:p>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FZOEU iz sredstava stečenih od prodaje emisijskih jedinica putem dražbe, iz sredstava prikupljenih od posebne naknade za vozila te od posebne naknade za okoliš radi nestavljanja biogoriva na tržište, Modernizacijski fond, ESI fondovi, proračuni JLP(R)S, EU fondovi – ovisno o planovima i projektima JLP(R)S-a</w:t>
            </w:r>
          </w:p>
        </w:tc>
      </w:tr>
      <w:tr w:rsidR="00510A6C" w:rsidRPr="00D60728" w:rsidTr="00510A6C">
        <w:trPr>
          <w:trHeight w:val="1871"/>
        </w:trPr>
        <w:tc>
          <w:tcPr>
            <w:tcW w:w="1129" w:type="dxa"/>
            <w:vMerge w:val="restart"/>
            <w:vAlign w:val="center"/>
            <w:hideMark/>
          </w:tcPr>
          <w:p w:rsidR="00510A6C" w:rsidRPr="00D60728" w:rsidRDefault="00510A6C"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510A6C" w:rsidRPr="00D60728" w:rsidRDefault="00510A6C"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510A6C" w:rsidRPr="00D60728" w:rsidRDefault="00510A6C"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Pr>
                <w:rFonts w:ascii="Times New Roman" w:hAnsi="Times New Roman"/>
                <w:i/>
                <w:iCs/>
                <w:sz w:val="20"/>
                <w:szCs w:val="20"/>
              </w:rPr>
              <w:t>u</w:t>
            </w:r>
            <w:r w:rsidRPr="00D60728">
              <w:rPr>
                <w:rFonts w:ascii="Times New Roman" w:hAnsi="Times New Roman"/>
                <w:i/>
                <w:iCs/>
                <w:sz w:val="20"/>
                <w:szCs w:val="20"/>
              </w:rPr>
              <w:t>šteda energije i smanjenje emisije CO</w:t>
            </w:r>
            <w:r w:rsidRPr="00D60728">
              <w:rPr>
                <w:rFonts w:ascii="Times New Roman" w:hAnsi="Times New Roman"/>
                <w:i/>
                <w:iCs/>
                <w:sz w:val="20"/>
                <w:szCs w:val="20"/>
                <w:vertAlign w:val="subscript"/>
              </w:rPr>
              <w:t>2e</w:t>
            </w:r>
            <w:r w:rsidRPr="00D60728">
              <w:rPr>
                <w:rFonts w:ascii="Times New Roman" w:hAnsi="Times New Roman"/>
                <w:i/>
                <w:iCs/>
                <w:sz w:val="20"/>
                <w:szCs w:val="20"/>
              </w:rPr>
              <w:t xml:space="preserve"> te smanjenje emisija onečišćujućih tvari; </w:t>
            </w:r>
          </w:p>
          <w:p w:rsidR="00510A6C" w:rsidRPr="00D60728" w:rsidRDefault="00510A6C"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procijenjene uštede u 2030. 0,15 PJ; </w:t>
            </w:r>
          </w:p>
          <w:p w:rsidR="00510A6C" w:rsidRPr="00D60728" w:rsidRDefault="00510A6C"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2030. 11,0 ktCO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p w:rsidR="00510A6C" w:rsidRPr="00D60728" w:rsidRDefault="00510A6C"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kumulativne uštede energije u razdoblju 2021.-2030. 1,19 PJ; </w:t>
            </w:r>
          </w:p>
          <w:p w:rsidR="00510A6C" w:rsidRPr="00D60728" w:rsidRDefault="00510A6C"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kumulativno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razdoblju 2021.-2030. 87,1 ktCO</w:t>
            </w:r>
            <w:r w:rsidRPr="00D60728">
              <w:rPr>
                <w:rFonts w:ascii="Times New Roman" w:hAnsi="Times New Roman"/>
                <w:i/>
                <w:iCs/>
                <w:sz w:val="20"/>
                <w:szCs w:val="20"/>
                <w:vertAlign w:val="subscript"/>
              </w:rPr>
              <w:t>2e</w:t>
            </w:r>
          </w:p>
        </w:tc>
      </w:tr>
      <w:tr w:rsidR="00510A6C" w:rsidRPr="00D60728" w:rsidTr="002A3E94">
        <w:trPr>
          <w:trHeight w:val="1120"/>
        </w:trPr>
        <w:tc>
          <w:tcPr>
            <w:tcW w:w="1129" w:type="dxa"/>
            <w:vMerge/>
            <w:vAlign w:val="center"/>
            <w:hideMark/>
          </w:tcPr>
          <w:p w:rsidR="00510A6C" w:rsidRPr="00D60728" w:rsidRDefault="00510A6C" w:rsidP="00BF7DCC">
            <w:pPr>
              <w:spacing w:line="240" w:lineRule="auto"/>
              <w:jc w:val="left"/>
              <w:rPr>
                <w:rFonts w:ascii="Times New Roman" w:hAnsi="Times New Roman"/>
                <w:sz w:val="20"/>
                <w:szCs w:val="20"/>
              </w:rPr>
            </w:pPr>
          </w:p>
        </w:tc>
        <w:tc>
          <w:tcPr>
            <w:tcW w:w="1418" w:type="dxa"/>
            <w:vAlign w:val="center"/>
          </w:tcPr>
          <w:p w:rsidR="00510A6C" w:rsidRPr="00D60728" w:rsidRDefault="00510A6C"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510A6C" w:rsidRPr="00D60728" w:rsidRDefault="00510A6C"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Učinci ove mjere evidentirat će se zasebno po projektima, propisanom TD metodologijom, uz eventualnu nadopunu/razradu nove BU metodologije</w:t>
            </w:r>
          </w:p>
        </w:tc>
      </w:tr>
    </w:tbl>
    <w:p w:rsidR="00D60728" w:rsidRPr="00D60728" w:rsidRDefault="00D60728" w:rsidP="00BF7DCC">
      <w:pPr>
        <w:spacing w:line="240" w:lineRule="auto"/>
      </w:pPr>
    </w:p>
    <w:p w:rsidR="001A0C18" w:rsidRDefault="001A0C18" w:rsidP="00BF7DCC">
      <w:pPr>
        <w:spacing w:line="240" w:lineRule="auto"/>
      </w:pPr>
    </w:p>
    <w:tbl>
      <w:tblPr>
        <w:tblStyle w:val="TableGrid"/>
        <w:tblW w:w="9175" w:type="dxa"/>
        <w:tblLayout w:type="fixed"/>
        <w:tblLook w:val="04A0" w:firstRow="1" w:lastRow="0" w:firstColumn="1" w:lastColumn="0" w:noHBand="0" w:noVBand="1"/>
      </w:tblPr>
      <w:tblGrid>
        <w:gridCol w:w="1129"/>
        <w:gridCol w:w="1418"/>
        <w:gridCol w:w="6628"/>
      </w:tblGrid>
      <w:tr w:rsidR="00D60728" w:rsidRPr="00707212" w:rsidTr="001A0C18">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Obuka vozača cestovnih vozila za eko vožnju</w:t>
            </w:r>
          </w:p>
        </w:tc>
      </w:tr>
      <w:tr w:rsidR="00D60728" w:rsidRPr="00D60728" w:rsidTr="001A0C18">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MTR-11</w:t>
            </w:r>
          </w:p>
        </w:tc>
      </w:tr>
      <w:tr w:rsidR="00D60728" w:rsidRPr="00D60728" w:rsidTr="001A0C18">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mjera</w:t>
            </w:r>
          </w:p>
        </w:tc>
      </w:tr>
      <w:tr w:rsidR="00D60728" w:rsidRPr="00D60728" w:rsidTr="001A0C18">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1A0C18">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1A0C18">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1A0C18">
              <w:rPr>
                <w:rFonts w:ascii="Times New Roman" w:hAnsi="Times New Roman"/>
                <w:i/>
                <w:iCs/>
                <w:sz w:val="20"/>
                <w:szCs w:val="20"/>
              </w:rPr>
              <w:t>24</w:t>
            </w:r>
            <w:r w:rsidRPr="00D60728">
              <w:rPr>
                <w:rFonts w:ascii="Times New Roman" w:hAnsi="Times New Roman"/>
                <w:i/>
                <w:iCs/>
                <w:sz w:val="20"/>
                <w:szCs w:val="20"/>
              </w:rPr>
              <w:t>.</w:t>
            </w:r>
          </w:p>
        </w:tc>
      </w:tr>
      <w:tr w:rsidR="00D60728" w:rsidRPr="00D60728" w:rsidTr="001A0C18">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Podizanje razine osviještenosti o prednostima energetski učinkovite vožnje</w:t>
            </w:r>
          </w:p>
        </w:tc>
      </w:tr>
      <w:tr w:rsidR="001A0C18" w:rsidRPr="00D60728" w:rsidTr="001A0C18">
        <w:trPr>
          <w:trHeight w:val="3685"/>
        </w:trPr>
        <w:tc>
          <w:tcPr>
            <w:tcW w:w="1129" w:type="dxa"/>
            <w:vMerge/>
            <w:vAlign w:val="center"/>
          </w:tcPr>
          <w:p w:rsidR="001A0C18" w:rsidRPr="00D60728" w:rsidRDefault="001A0C18" w:rsidP="00BF7DCC">
            <w:pPr>
              <w:spacing w:line="240" w:lineRule="auto"/>
              <w:jc w:val="left"/>
              <w:rPr>
                <w:rFonts w:ascii="Times New Roman" w:hAnsi="Times New Roman"/>
                <w:sz w:val="20"/>
                <w:szCs w:val="20"/>
              </w:rPr>
            </w:pPr>
          </w:p>
        </w:tc>
        <w:tc>
          <w:tcPr>
            <w:tcW w:w="1418" w:type="dxa"/>
            <w:vAlign w:val="center"/>
          </w:tcPr>
          <w:p w:rsidR="001A0C18" w:rsidRPr="00D60728" w:rsidRDefault="001A0C18"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1A0C18" w:rsidRPr="00D60728" w:rsidRDefault="001A0C18" w:rsidP="00BF7DCC">
            <w:pPr>
              <w:spacing w:line="240" w:lineRule="auto"/>
              <w:rPr>
                <w:rFonts w:ascii="Times New Roman" w:hAnsi="Times New Roman"/>
                <w:i/>
                <w:iCs/>
                <w:sz w:val="20"/>
                <w:szCs w:val="20"/>
              </w:rPr>
            </w:pPr>
            <w:r w:rsidRPr="00D60728">
              <w:rPr>
                <w:rFonts w:ascii="Times New Roman" w:hAnsi="Times New Roman"/>
                <w:i/>
                <w:iCs/>
                <w:sz w:val="20"/>
                <w:szCs w:val="20"/>
              </w:rPr>
              <w:t>Obrazovanje o elementima eko vožnje provodi se kratkim treninzima (u trajanju od oko 60-120 minuta po kandidatu) među vozačima koji su vozačku dozvolu dobili prije stupanja na snagu Pravilnika o osposobljavanju kandidata za vozače (NN 13/09, 132/17), kojim je za sve autoškole i instruktore postavljena obveza provođenja izobrazbe o elementima eko-vožnje tijekom standardne izobrazbe vozača kandidata. Treba istaknuti da se predložena mjera ne odnosi na nove vozače, koji izobrazbu o eko vožnji dobivaju sukladno zakonskim obvezama iskazanim predmetnim Pravilnikom. Posebni elementi nacionalne kampanje trebaju biti posvećeni edukaciji o eko vožnji za vozače osobnih automobila, autobusa, gospodarskih i teških teretnih vozila. Planirano je uvođenje posebnog edukativnog modula koji se odnosi isključivo na vozila s električnim pogonom (edukacija o vožnji i navikama punjenja). Mjerom se planira obuhvatiti 1.000 vozača godišnje.</w:t>
            </w:r>
          </w:p>
        </w:tc>
      </w:tr>
      <w:tr w:rsidR="00D60728" w:rsidRPr="00D60728" w:rsidTr="001A0C18">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D60728" w:rsidRPr="00D60728" w:rsidRDefault="00D60728" w:rsidP="00BF7DCC">
            <w:pPr>
              <w:pStyle w:val="ListParagraph"/>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U okviru mjere provest će se aktivnosti sufinanciranja putem javnih poziva FZOEU-a.</w:t>
            </w:r>
          </w:p>
        </w:tc>
      </w:tr>
      <w:tr w:rsidR="001A0C18" w:rsidRPr="00D60728" w:rsidTr="001A0C18">
        <w:trPr>
          <w:trHeight w:val="454"/>
        </w:trPr>
        <w:tc>
          <w:tcPr>
            <w:tcW w:w="1129" w:type="dxa"/>
            <w:vMerge/>
            <w:vAlign w:val="center"/>
            <w:hideMark/>
          </w:tcPr>
          <w:p w:rsidR="001A0C18" w:rsidRPr="00D60728" w:rsidRDefault="001A0C18" w:rsidP="00BF7DCC">
            <w:pPr>
              <w:spacing w:line="240" w:lineRule="auto"/>
              <w:jc w:val="left"/>
              <w:rPr>
                <w:rFonts w:ascii="Times New Roman" w:hAnsi="Times New Roman"/>
                <w:sz w:val="20"/>
                <w:szCs w:val="20"/>
              </w:rPr>
            </w:pPr>
          </w:p>
        </w:tc>
        <w:tc>
          <w:tcPr>
            <w:tcW w:w="1418" w:type="dxa"/>
            <w:vAlign w:val="center"/>
            <w:hideMark/>
          </w:tcPr>
          <w:p w:rsidR="001A0C18" w:rsidRPr="00D60728" w:rsidRDefault="001A0C18"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1A0C18" w:rsidRPr="00D60728" w:rsidRDefault="001A0C18" w:rsidP="00BF7DCC">
            <w:pPr>
              <w:spacing w:line="240" w:lineRule="auto"/>
              <w:rPr>
                <w:rFonts w:ascii="Times New Roman" w:hAnsi="Times New Roman"/>
                <w:i/>
                <w:iCs/>
                <w:sz w:val="20"/>
                <w:szCs w:val="20"/>
              </w:rPr>
            </w:pPr>
            <w:r w:rsidRPr="00D60728">
              <w:rPr>
                <w:rFonts w:ascii="Times New Roman" w:hAnsi="Times New Roman"/>
                <w:i/>
                <w:iCs/>
                <w:sz w:val="20"/>
                <w:szCs w:val="20"/>
              </w:rPr>
              <w:t>FZOEU</w:t>
            </w:r>
          </w:p>
        </w:tc>
      </w:tr>
      <w:tr w:rsidR="00D60728" w:rsidRPr="00D60728" w:rsidTr="001A0C18">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18 milijuna kuna</w:t>
            </w:r>
          </w:p>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FZOEU iz sredstava stečenim od prodaje emisijskih jedinica putem dražbe, iz sredstava prikupljenih od posebne naknade za vozila te od posebne naknade za okoliš radi ne stavljanja biogoriva na tržište</w:t>
            </w:r>
          </w:p>
        </w:tc>
      </w:tr>
      <w:tr w:rsidR="001A0C18" w:rsidRPr="00D60728" w:rsidTr="001A0C18">
        <w:trPr>
          <w:trHeight w:val="1701"/>
        </w:trPr>
        <w:tc>
          <w:tcPr>
            <w:tcW w:w="1129" w:type="dxa"/>
            <w:vMerge w:val="restart"/>
            <w:vAlign w:val="center"/>
            <w:hideMark/>
          </w:tcPr>
          <w:p w:rsidR="001A0C18" w:rsidRPr="00D60728" w:rsidRDefault="001A0C18"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1A0C18" w:rsidRPr="00D60728" w:rsidRDefault="001A0C18"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1A0C18" w:rsidRPr="00D60728" w:rsidRDefault="001A0C18"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ušteda energije i smanjenje emisije CO</w:t>
            </w:r>
            <w:r w:rsidRPr="00D60728">
              <w:rPr>
                <w:rFonts w:ascii="Times New Roman" w:hAnsi="Times New Roman"/>
                <w:i/>
                <w:iCs/>
                <w:sz w:val="20"/>
                <w:szCs w:val="20"/>
                <w:vertAlign w:val="subscript"/>
              </w:rPr>
              <w:t>2e</w:t>
            </w:r>
            <w:r w:rsidRPr="00D60728">
              <w:rPr>
                <w:rFonts w:ascii="Times New Roman" w:hAnsi="Times New Roman"/>
                <w:i/>
                <w:iCs/>
                <w:sz w:val="20"/>
                <w:szCs w:val="20"/>
              </w:rPr>
              <w:t xml:space="preserve"> te smanjenje emisija onečišćujućih tvari; </w:t>
            </w:r>
          </w:p>
          <w:p w:rsidR="001A0C18" w:rsidRPr="00D60728" w:rsidRDefault="001A0C18"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procijenjene uštede u 2030. 0,03 PJ; </w:t>
            </w:r>
          </w:p>
          <w:p w:rsidR="001A0C18" w:rsidRPr="00D60728" w:rsidRDefault="001A0C18"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procijenjeno smanjenje emisija CO</w:t>
            </w:r>
            <w:r w:rsidRPr="00D60728">
              <w:rPr>
                <w:rFonts w:ascii="Times New Roman" w:hAnsi="Times New Roman"/>
                <w:i/>
                <w:iCs/>
                <w:sz w:val="20"/>
                <w:szCs w:val="20"/>
                <w:vertAlign w:val="subscript"/>
              </w:rPr>
              <w:t xml:space="preserve">2 </w:t>
            </w:r>
            <w:r w:rsidRPr="00D60728">
              <w:rPr>
                <w:rFonts w:ascii="Times New Roman" w:hAnsi="Times New Roman"/>
                <w:i/>
                <w:iCs/>
                <w:sz w:val="20"/>
                <w:szCs w:val="20"/>
              </w:rPr>
              <w:t>u 2030. 2,2 ktCO</w:t>
            </w:r>
            <w:r w:rsidRPr="00D60728">
              <w:rPr>
                <w:rFonts w:ascii="Times New Roman" w:hAnsi="Times New Roman"/>
                <w:i/>
                <w:iCs/>
                <w:sz w:val="20"/>
                <w:szCs w:val="20"/>
                <w:vertAlign w:val="subscript"/>
              </w:rPr>
              <w:t>2e</w:t>
            </w:r>
            <w:r w:rsidRPr="00D60728">
              <w:rPr>
                <w:rFonts w:ascii="Times New Roman" w:hAnsi="Times New Roman"/>
                <w:i/>
                <w:iCs/>
                <w:sz w:val="20"/>
                <w:szCs w:val="20"/>
              </w:rPr>
              <w:t xml:space="preserve">; </w:t>
            </w:r>
          </w:p>
          <w:p w:rsidR="001A0C18" w:rsidRPr="00D60728" w:rsidRDefault="001A0C18"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kumulativne uštede energije u razdoblju 2021.-2030. 0,3 PJ; </w:t>
            </w:r>
          </w:p>
          <w:p w:rsidR="001A0C18" w:rsidRPr="00D60728" w:rsidRDefault="001A0C18"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kumulativno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razdoblju 2021.-2030. 22,0 ktCO</w:t>
            </w:r>
            <w:r w:rsidRPr="00D60728">
              <w:rPr>
                <w:rFonts w:ascii="Times New Roman" w:hAnsi="Times New Roman"/>
                <w:i/>
                <w:iCs/>
                <w:sz w:val="20"/>
                <w:szCs w:val="20"/>
                <w:vertAlign w:val="subscript"/>
              </w:rPr>
              <w:t>2e</w:t>
            </w:r>
          </w:p>
        </w:tc>
      </w:tr>
      <w:tr w:rsidR="001A0C18" w:rsidRPr="00D60728" w:rsidTr="001A0C18">
        <w:trPr>
          <w:trHeight w:val="454"/>
        </w:trPr>
        <w:tc>
          <w:tcPr>
            <w:tcW w:w="1129" w:type="dxa"/>
            <w:vMerge/>
            <w:vAlign w:val="center"/>
            <w:hideMark/>
          </w:tcPr>
          <w:p w:rsidR="001A0C18" w:rsidRPr="00D60728" w:rsidRDefault="001A0C18" w:rsidP="00BF7DCC">
            <w:pPr>
              <w:spacing w:line="240" w:lineRule="auto"/>
              <w:jc w:val="left"/>
              <w:rPr>
                <w:rFonts w:ascii="Times New Roman" w:hAnsi="Times New Roman"/>
                <w:sz w:val="20"/>
                <w:szCs w:val="20"/>
              </w:rPr>
            </w:pPr>
          </w:p>
        </w:tc>
        <w:tc>
          <w:tcPr>
            <w:tcW w:w="1418" w:type="dxa"/>
            <w:vAlign w:val="center"/>
          </w:tcPr>
          <w:p w:rsidR="001A0C18" w:rsidRPr="00D60728" w:rsidRDefault="001A0C18"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1A0C18" w:rsidRPr="00D60728" w:rsidRDefault="001A0C18"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Ova mjera će se pratiti putem Sustava za praćenje, mjerenje i verifikaciju ušteda energije (SMIV).</w:t>
            </w:r>
          </w:p>
        </w:tc>
      </w:tr>
    </w:tbl>
    <w:p w:rsidR="00D60728" w:rsidRPr="00D60728" w:rsidRDefault="00D60728" w:rsidP="00BF7DCC">
      <w:pPr>
        <w:spacing w:line="240" w:lineRule="auto"/>
      </w:pPr>
    </w:p>
    <w:p w:rsidR="00D60728" w:rsidRPr="00D60728" w:rsidRDefault="00D60728" w:rsidP="00BF7DCC">
      <w:pPr>
        <w:pStyle w:val="Caption"/>
        <w:keepNext/>
        <w:spacing w:after="0" w:line="240" w:lineRule="auto"/>
      </w:pPr>
    </w:p>
    <w:p w:rsidR="00134187" w:rsidRDefault="00134187" w:rsidP="00BF7DCC">
      <w:pPr>
        <w:spacing w:line="240" w:lineRule="auto"/>
      </w:pPr>
      <w:r>
        <w:br w:type="page"/>
      </w:r>
    </w:p>
    <w:tbl>
      <w:tblPr>
        <w:tblStyle w:val="TableGrid"/>
        <w:tblW w:w="9175" w:type="dxa"/>
        <w:tblLayout w:type="fixed"/>
        <w:tblLook w:val="04A0" w:firstRow="1" w:lastRow="0" w:firstColumn="1" w:lastColumn="0" w:noHBand="0" w:noVBand="1"/>
      </w:tblPr>
      <w:tblGrid>
        <w:gridCol w:w="1129"/>
        <w:gridCol w:w="1418"/>
        <w:gridCol w:w="6628"/>
      </w:tblGrid>
      <w:tr w:rsidR="00D60728" w:rsidRPr="00707212" w:rsidTr="00134187">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Poticanje brodskog prometa na alternativna goriva</w:t>
            </w:r>
          </w:p>
        </w:tc>
      </w:tr>
      <w:tr w:rsidR="00D60728" w:rsidRPr="00D60728" w:rsidTr="00134187">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MTR-12</w:t>
            </w:r>
          </w:p>
        </w:tc>
      </w:tr>
      <w:tr w:rsidR="00D60728" w:rsidRPr="00D60728" w:rsidTr="00134187">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D60728" w:rsidRPr="00D60728" w:rsidTr="00134187">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134187">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134187">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134187">
              <w:rPr>
                <w:rFonts w:ascii="Times New Roman" w:hAnsi="Times New Roman"/>
                <w:i/>
                <w:iCs/>
                <w:sz w:val="20"/>
                <w:szCs w:val="20"/>
              </w:rPr>
              <w:t>24</w:t>
            </w:r>
            <w:r w:rsidRPr="00D60728">
              <w:rPr>
                <w:rFonts w:ascii="Times New Roman" w:hAnsi="Times New Roman"/>
                <w:i/>
                <w:iCs/>
                <w:sz w:val="20"/>
                <w:szCs w:val="20"/>
              </w:rPr>
              <w:t>.</w:t>
            </w:r>
          </w:p>
        </w:tc>
      </w:tr>
      <w:tr w:rsidR="002200DF" w:rsidRPr="00D60728" w:rsidTr="00A4381B">
        <w:trPr>
          <w:trHeight w:val="4762"/>
        </w:trPr>
        <w:tc>
          <w:tcPr>
            <w:tcW w:w="1129" w:type="dxa"/>
            <w:vMerge/>
            <w:vAlign w:val="center"/>
            <w:hideMark/>
          </w:tcPr>
          <w:p w:rsidR="002200DF" w:rsidRPr="00D60728" w:rsidRDefault="002200DF" w:rsidP="00BF7DCC">
            <w:pPr>
              <w:spacing w:line="240" w:lineRule="auto"/>
              <w:jc w:val="left"/>
              <w:rPr>
                <w:rFonts w:ascii="Times New Roman" w:hAnsi="Times New Roman"/>
                <w:sz w:val="20"/>
                <w:szCs w:val="20"/>
              </w:rPr>
            </w:pPr>
          </w:p>
        </w:tc>
        <w:tc>
          <w:tcPr>
            <w:tcW w:w="1418" w:type="dxa"/>
            <w:vAlign w:val="center"/>
          </w:tcPr>
          <w:p w:rsidR="002200DF" w:rsidRPr="00D60728" w:rsidRDefault="002200DF" w:rsidP="00BF7DCC">
            <w:pPr>
              <w:spacing w:line="240" w:lineRule="auto"/>
              <w:jc w:val="left"/>
              <w:rPr>
                <w:rFonts w:ascii="Times New Roman" w:hAnsi="Times New Roman"/>
                <w:sz w:val="20"/>
                <w:szCs w:val="20"/>
              </w:rPr>
            </w:pPr>
            <w:r>
              <w:rPr>
                <w:rFonts w:ascii="Times New Roman" w:hAnsi="Times New Roman"/>
                <w:sz w:val="20"/>
                <w:szCs w:val="20"/>
              </w:rPr>
              <w:t>Cilj i o</w:t>
            </w:r>
            <w:r w:rsidRPr="00D60728">
              <w:rPr>
                <w:rFonts w:ascii="Times New Roman" w:hAnsi="Times New Roman"/>
                <w:sz w:val="20"/>
                <w:szCs w:val="20"/>
              </w:rPr>
              <w:t>pis</w:t>
            </w:r>
          </w:p>
        </w:tc>
        <w:tc>
          <w:tcPr>
            <w:tcW w:w="6628" w:type="dxa"/>
            <w:shd w:val="clear" w:color="auto" w:fill="auto"/>
            <w:vAlign w:val="center"/>
          </w:tcPr>
          <w:p w:rsidR="002200DF" w:rsidRPr="00D60728" w:rsidRDefault="002200DF" w:rsidP="00BF7DCC">
            <w:pPr>
              <w:spacing w:line="240" w:lineRule="auto"/>
              <w:rPr>
                <w:rFonts w:ascii="Times New Roman" w:hAnsi="Times New Roman"/>
                <w:i/>
                <w:iCs/>
                <w:sz w:val="20"/>
                <w:szCs w:val="20"/>
              </w:rPr>
            </w:pPr>
            <w:r w:rsidRPr="00D60728">
              <w:rPr>
                <w:rFonts w:ascii="Times New Roman" w:hAnsi="Times New Roman"/>
                <w:i/>
                <w:iCs/>
                <w:sz w:val="20"/>
                <w:szCs w:val="20"/>
              </w:rPr>
              <w:t>Prema „Zakonu o uspostavi infrastrukture za alternativna goriva“, alternativna goriva se definiraju kao goriva ili izvori energije koja barem djelomično mogu nadomjestiti fosilna goriva. U njih spada električna energija zajedno s baterijskim sustavom, vodik, biogoriva, sintetička i parafinska goriva, prirodni plin, uključujući bioplin, u plinovitom (stlačeni prirodni plin – SPP) i ukapljenom obliku (ukapljeni prirodni plin – UPP) te ukapljeni naftni plin (UNP). U skladu s “Nacionalnim planom razvoja obalnog linijskog pomorskog prometa” i obzirom da je Republika Hrvatska pomorska zemlja s razvijenim dužobalnim linijskim prometom, te pored toga ima plovne rječne puteve i jezera ovom mjerom bi se sufinancirali projekti postupnog prijelaza postojeće zastarjele brodske flote na alternativna i/ili hibridna rješenja i novogradnju. Brodovi koji koriste alternativna goriva u pravilu su skuplji od brodova koji koriste konvencionalna goriva pa ne postoji izraženi interes brodara ulagati u takve brodove. Stoga je u početnom razdoblju potrebno financijski podržati prenamjenu/izgradnju takvih brodova u mjeri u kojoj se izjednačava nabavna cijena odnosno stavlja takvog brodara u isti položaj kao i brodara koji koristi brodove s konvencionalnim gorivom. Ova se mjera nadovezuje na mjeru vezanu uz razvoj infrastrukture za alternativna goriva u smislu trajnih korisnika/potrošača na toj infrastrukturi, a istovremeno značajno utječe na potencijalno smanjenje onečišćenja mora, rijeka i jezera.</w:t>
            </w:r>
          </w:p>
        </w:tc>
      </w:tr>
      <w:tr w:rsidR="00D60728" w:rsidRPr="00D60728" w:rsidTr="00134187">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D60728" w:rsidRPr="00D60728" w:rsidRDefault="00D60728" w:rsidP="00BF7DCC">
            <w:pPr>
              <w:pStyle w:val="ListParagraph"/>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U okviru mjere provest će se aktivnosti sufinanciranja prenamjene postojeće flote brodova i gradnje novih brodova na alternativna goriva putem javnih poziva FZOEU-a.</w:t>
            </w:r>
          </w:p>
        </w:tc>
      </w:tr>
      <w:tr w:rsidR="00134187" w:rsidRPr="00D60728" w:rsidTr="00134187">
        <w:trPr>
          <w:trHeight w:val="454"/>
        </w:trPr>
        <w:tc>
          <w:tcPr>
            <w:tcW w:w="1129" w:type="dxa"/>
            <w:vMerge/>
            <w:vAlign w:val="center"/>
            <w:hideMark/>
          </w:tcPr>
          <w:p w:rsidR="00134187" w:rsidRPr="00D60728" w:rsidRDefault="00134187" w:rsidP="00BF7DCC">
            <w:pPr>
              <w:spacing w:line="240" w:lineRule="auto"/>
              <w:jc w:val="left"/>
              <w:rPr>
                <w:rFonts w:ascii="Times New Roman" w:hAnsi="Times New Roman"/>
                <w:sz w:val="20"/>
                <w:szCs w:val="20"/>
              </w:rPr>
            </w:pPr>
          </w:p>
        </w:tc>
        <w:tc>
          <w:tcPr>
            <w:tcW w:w="1418" w:type="dxa"/>
            <w:vAlign w:val="center"/>
            <w:hideMark/>
          </w:tcPr>
          <w:p w:rsidR="00134187" w:rsidRPr="00D60728" w:rsidRDefault="00134187"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134187" w:rsidRPr="00D60728" w:rsidRDefault="00134187" w:rsidP="00BF7DCC">
            <w:pPr>
              <w:spacing w:line="240" w:lineRule="auto"/>
              <w:rPr>
                <w:rFonts w:ascii="Times New Roman" w:hAnsi="Times New Roman"/>
                <w:i/>
                <w:iCs/>
                <w:sz w:val="20"/>
                <w:szCs w:val="20"/>
              </w:rPr>
            </w:pPr>
            <w:r w:rsidRPr="00D60728">
              <w:rPr>
                <w:rFonts w:ascii="Times New Roman" w:hAnsi="Times New Roman"/>
                <w:i/>
                <w:iCs/>
                <w:sz w:val="20"/>
                <w:szCs w:val="20"/>
              </w:rPr>
              <w:t>FZOEU</w:t>
            </w:r>
          </w:p>
        </w:tc>
      </w:tr>
      <w:tr w:rsidR="00D60728" w:rsidRPr="00D60728" w:rsidTr="00134187">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ListParagraph"/>
              <w:numPr>
                <w:ilvl w:val="0"/>
                <w:numId w:val="32"/>
              </w:numPr>
              <w:spacing w:line="240" w:lineRule="auto"/>
              <w:contextualSpacing w:val="0"/>
              <w:jc w:val="left"/>
              <w:rPr>
                <w:rFonts w:ascii="Times New Roman" w:hAnsi="Times New Roman"/>
                <w:i/>
                <w:iCs/>
                <w:sz w:val="20"/>
                <w:szCs w:val="20"/>
              </w:rPr>
            </w:pPr>
            <w:r w:rsidRPr="00D60728">
              <w:rPr>
                <w:rFonts w:ascii="Times New Roman" w:hAnsi="Times New Roman"/>
                <w:i/>
                <w:iCs/>
                <w:sz w:val="20"/>
                <w:szCs w:val="20"/>
              </w:rPr>
              <w:t>300 milijuna kuna</w:t>
            </w:r>
          </w:p>
          <w:p w:rsidR="00D60728" w:rsidRPr="00D60728" w:rsidRDefault="00D60728" w:rsidP="00BF7DCC">
            <w:pPr>
              <w:pStyle w:val="ListParagraph"/>
              <w:numPr>
                <w:ilvl w:val="0"/>
                <w:numId w:val="32"/>
              </w:numPr>
              <w:spacing w:line="240" w:lineRule="auto"/>
              <w:contextualSpacing w:val="0"/>
              <w:jc w:val="left"/>
              <w:rPr>
                <w:rFonts w:ascii="Times New Roman" w:hAnsi="Times New Roman"/>
                <w:i/>
                <w:iCs/>
                <w:sz w:val="20"/>
                <w:szCs w:val="20"/>
              </w:rPr>
            </w:pPr>
            <w:r w:rsidRPr="00D60728">
              <w:rPr>
                <w:rFonts w:ascii="Times New Roman" w:hAnsi="Times New Roman"/>
                <w:i/>
                <w:iCs/>
                <w:sz w:val="20"/>
                <w:szCs w:val="20"/>
              </w:rPr>
              <w:t>FZOEU iz sredstava stečenim od prodaje emisijskih jedinica putem dražbe, natječaja AZOLPP, ESI fondova i drugih izvora</w:t>
            </w:r>
          </w:p>
        </w:tc>
      </w:tr>
      <w:tr w:rsidR="00134187" w:rsidRPr="00D60728" w:rsidTr="002A3E94">
        <w:trPr>
          <w:trHeight w:val="1225"/>
        </w:trPr>
        <w:tc>
          <w:tcPr>
            <w:tcW w:w="1129" w:type="dxa"/>
            <w:vMerge w:val="restart"/>
            <w:vAlign w:val="center"/>
            <w:hideMark/>
          </w:tcPr>
          <w:p w:rsidR="00134187" w:rsidRPr="00D60728" w:rsidRDefault="00134187"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134187" w:rsidRPr="00D60728" w:rsidRDefault="00134187"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134187" w:rsidRPr="00D60728" w:rsidRDefault="00134187"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akceleracija razvoja aktivnih korisnika alternativnih energenata,</w:t>
            </w:r>
          </w:p>
          <w:p w:rsidR="00134187" w:rsidRPr="00D60728" w:rsidRDefault="00134187"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ušteda energije i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w:t>
            </w:r>
          </w:p>
          <w:p w:rsidR="00134187" w:rsidRPr="00D60728" w:rsidRDefault="00134187"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emisija onečišćujućih tvari</w:t>
            </w:r>
          </w:p>
        </w:tc>
      </w:tr>
      <w:tr w:rsidR="00134187" w:rsidRPr="00D60728" w:rsidTr="00134187">
        <w:trPr>
          <w:trHeight w:val="20"/>
        </w:trPr>
        <w:tc>
          <w:tcPr>
            <w:tcW w:w="1129" w:type="dxa"/>
            <w:vMerge/>
            <w:vAlign w:val="center"/>
            <w:hideMark/>
          </w:tcPr>
          <w:p w:rsidR="00134187" w:rsidRPr="00D60728" w:rsidRDefault="00134187" w:rsidP="00BF7DCC">
            <w:pPr>
              <w:spacing w:line="240" w:lineRule="auto"/>
              <w:jc w:val="left"/>
              <w:rPr>
                <w:rFonts w:ascii="Times New Roman" w:hAnsi="Times New Roman"/>
                <w:sz w:val="20"/>
                <w:szCs w:val="20"/>
              </w:rPr>
            </w:pPr>
          </w:p>
        </w:tc>
        <w:tc>
          <w:tcPr>
            <w:tcW w:w="1418" w:type="dxa"/>
            <w:vAlign w:val="center"/>
          </w:tcPr>
          <w:p w:rsidR="00134187" w:rsidRPr="00D60728" w:rsidRDefault="00134187"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134187" w:rsidRPr="00D60728" w:rsidRDefault="00134187"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Izvješća o broju plovila na alternativna goriva putem Hrvatskog registra brodova</w:t>
            </w:r>
          </w:p>
        </w:tc>
      </w:tr>
    </w:tbl>
    <w:p w:rsidR="00D60728" w:rsidRDefault="00D60728" w:rsidP="00BF7DCC">
      <w:pPr>
        <w:spacing w:line="240" w:lineRule="auto"/>
      </w:pPr>
    </w:p>
    <w:p w:rsidR="00A4381B" w:rsidRDefault="00A4381B">
      <w:pPr>
        <w:spacing w:line="240" w:lineRule="auto"/>
        <w:jc w:val="left"/>
      </w:pPr>
      <w:r>
        <w:br w:type="page"/>
      </w:r>
    </w:p>
    <w:p w:rsidR="00A4381B" w:rsidRPr="00D60728" w:rsidRDefault="00A4381B" w:rsidP="00BF7DCC">
      <w:pPr>
        <w:spacing w:line="240" w:lineRule="auto"/>
      </w:pPr>
    </w:p>
    <w:tbl>
      <w:tblPr>
        <w:tblStyle w:val="TableGrid"/>
        <w:tblW w:w="9175" w:type="dxa"/>
        <w:tblLayout w:type="fixed"/>
        <w:tblLook w:val="04A0" w:firstRow="1" w:lastRow="0" w:firstColumn="1" w:lastColumn="0" w:noHBand="0" w:noVBand="1"/>
      </w:tblPr>
      <w:tblGrid>
        <w:gridCol w:w="1129"/>
        <w:gridCol w:w="1418"/>
        <w:gridCol w:w="6628"/>
      </w:tblGrid>
      <w:tr w:rsidR="00D60728" w:rsidRPr="00A4381B" w:rsidTr="00583AD4">
        <w:trPr>
          <w:trHeight w:val="454"/>
        </w:trPr>
        <w:tc>
          <w:tcPr>
            <w:tcW w:w="2547" w:type="dxa"/>
            <w:gridSpan w:val="2"/>
            <w:shd w:val="clear" w:color="auto" w:fill="D9D9D9" w:themeFill="background1" w:themeFillShade="D9"/>
            <w:vAlign w:val="center"/>
            <w:hideMark/>
          </w:tcPr>
          <w:p w:rsidR="00D60728" w:rsidRPr="00A4381B" w:rsidRDefault="00D60728" w:rsidP="00BF7DCC">
            <w:pPr>
              <w:spacing w:line="240" w:lineRule="auto"/>
              <w:ind w:right="57"/>
              <w:jc w:val="left"/>
              <w:rPr>
                <w:rFonts w:ascii="Times New Roman" w:hAnsi="Times New Roman"/>
                <w:b/>
                <w:iCs/>
              </w:rPr>
            </w:pPr>
            <w:r w:rsidRPr="00A4381B">
              <w:rPr>
                <w:rFonts w:ascii="Times New Roman" w:hAnsi="Times New Roman"/>
                <w:b/>
                <w:iCs/>
              </w:rPr>
              <w:t>Naziv mjere</w:t>
            </w:r>
          </w:p>
        </w:tc>
        <w:tc>
          <w:tcPr>
            <w:tcW w:w="6628" w:type="dxa"/>
            <w:shd w:val="clear" w:color="auto" w:fill="D9D9D9" w:themeFill="background1" w:themeFillShade="D9"/>
            <w:vAlign w:val="center"/>
          </w:tcPr>
          <w:p w:rsidR="00D60728" w:rsidRPr="00A4381B" w:rsidRDefault="00D60728" w:rsidP="00BF7DCC">
            <w:pPr>
              <w:spacing w:line="240" w:lineRule="auto"/>
              <w:ind w:right="57"/>
              <w:rPr>
                <w:rFonts w:ascii="Times New Roman" w:hAnsi="Times New Roman"/>
                <w:b/>
                <w:i/>
                <w:iCs/>
              </w:rPr>
            </w:pPr>
            <w:r w:rsidRPr="00A4381B">
              <w:rPr>
                <w:rFonts w:ascii="Times New Roman" w:hAnsi="Times New Roman"/>
                <w:b/>
                <w:i/>
                <w:iCs/>
              </w:rPr>
              <w:t>Plan razvoja tržišta naprednih biogoriva</w:t>
            </w:r>
          </w:p>
        </w:tc>
      </w:tr>
      <w:tr w:rsidR="00D60728" w:rsidRPr="00D60728" w:rsidTr="00583AD4">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MTR-13</w:t>
            </w:r>
          </w:p>
        </w:tc>
      </w:tr>
      <w:tr w:rsidR="00D60728" w:rsidRPr="00D60728" w:rsidTr="00583AD4">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promotivna mjera</w:t>
            </w:r>
          </w:p>
        </w:tc>
      </w:tr>
      <w:tr w:rsidR="00D60728" w:rsidRPr="00D60728" w:rsidTr="00583AD4">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D60728" w:rsidRPr="00D60728" w:rsidTr="00583AD4">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583AD4">
              <w:rPr>
                <w:rFonts w:ascii="Times New Roman" w:hAnsi="Times New Roman"/>
                <w:i/>
                <w:iCs/>
                <w:sz w:val="20"/>
                <w:szCs w:val="20"/>
              </w:rPr>
              <w:t>24</w:t>
            </w:r>
            <w:r w:rsidRPr="00D60728">
              <w:rPr>
                <w:rFonts w:ascii="Times New Roman" w:hAnsi="Times New Roman"/>
                <w:i/>
                <w:iCs/>
                <w:sz w:val="20"/>
                <w:szCs w:val="20"/>
              </w:rPr>
              <w:t>.</w:t>
            </w:r>
          </w:p>
        </w:tc>
      </w:tr>
      <w:tr w:rsidR="00D60728" w:rsidRPr="00D60728" w:rsidTr="00583AD4">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D60728" w:rsidRPr="00D60728" w:rsidRDefault="00D60728" w:rsidP="00BF7DCC">
            <w:pPr>
              <w:pStyle w:val="ListParagraph"/>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 xml:space="preserve">Povećanje udjela OIE u prometu do 2030. godine kroz razvoj tržišta naprednih goriva; </w:t>
            </w:r>
          </w:p>
          <w:p w:rsidR="00D60728" w:rsidRPr="00D60728" w:rsidRDefault="00D60728" w:rsidP="00BF7DCC">
            <w:pPr>
              <w:pStyle w:val="ListParagraph"/>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Postizanje planiranog udjela naprednih goriva u neposrednoj potrošnji energije u prometu putem kriterija najmanjeg troška i najvećeg multiplikatora</w:t>
            </w:r>
          </w:p>
        </w:tc>
      </w:tr>
      <w:tr w:rsidR="00583AD4" w:rsidRPr="00D60728" w:rsidTr="00583AD4">
        <w:trPr>
          <w:trHeight w:val="1191"/>
        </w:trPr>
        <w:tc>
          <w:tcPr>
            <w:tcW w:w="1129" w:type="dxa"/>
            <w:vMerge/>
            <w:vAlign w:val="center"/>
          </w:tcPr>
          <w:p w:rsidR="00583AD4" w:rsidRPr="00D60728" w:rsidRDefault="00583AD4" w:rsidP="00BF7DCC">
            <w:pPr>
              <w:spacing w:line="240" w:lineRule="auto"/>
              <w:jc w:val="left"/>
              <w:rPr>
                <w:rFonts w:ascii="Times New Roman" w:hAnsi="Times New Roman"/>
                <w:sz w:val="20"/>
                <w:szCs w:val="20"/>
              </w:rPr>
            </w:pPr>
          </w:p>
        </w:tc>
        <w:tc>
          <w:tcPr>
            <w:tcW w:w="1418" w:type="dxa"/>
            <w:vAlign w:val="center"/>
          </w:tcPr>
          <w:p w:rsidR="00583AD4" w:rsidRPr="00D60728" w:rsidRDefault="00583AD4"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583AD4" w:rsidRPr="00D60728" w:rsidRDefault="00583AD4" w:rsidP="00BF7DCC">
            <w:pPr>
              <w:spacing w:line="240" w:lineRule="auto"/>
              <w:rPr>
                <w:rFonts w:ascii="Times New Roman" w:hAnsi="Times New Roman"/>
                <w:i/>
                <w:iCs/>
                <w:sz w:val="20"/>
                <w:szCs w:val="20"/>
              </w:rPr>
            </w:pPr>
            <w:r w:rsidRPr="00D60728">
              <w:rPr>
                <w:rFonts w:ascii="Times New Roman" w:hAnsi="Times New Roman"/>
                <w:i/>
                <w:iCs/>
                <w:sz w:val="20"/>
                <w:szCs w:val="20"/>
              </w:rPr>
              <w:t>Provedba mjere osniva se na izmjenama i dopunama relevantnih zakona i podzakonskih akata na temelju Direktive o promicanju uporabe energije iz obnovljivih izvora, a posebice uspostavi uvjeta za praćenje održivosti biogoriva i ušteda stakleničkih plinova.</w:t>
            </w:r>
          </w:p>
        </w:tc>
      </w:tr>
      <w:tr w:rsidR="00D60728" w:rsidRPr="00D60728" w:rsidTr="00583AD4">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D60728" w:rsidRPr="00D60728" w:rsidRDefault="00D60728" w:rsidP="00BF7DCC">
            <w:pPr>
              <w:pStyle w:val="ListParagraph"/>
              <w:numPr>
                <w:ilvl w:val="0"/>
                <w:numId w:val="75"/>
              </w:numPr>
              <w:spacing w:line="240" w:lineRule="auto"/>
              <w:ind w:left="284" w:hanging="284"/>
              <w:rPr>
                <w:rFonts w:ascii="Times New Roman" w:hAnsi="Times New Roman"/>
                <w:i/>
                <w:sz w:val="20"/>
                <w:szCs w:val="20"/>
              </w:rPr>
            </w:pPr>
            <w:r w:rsidRPr="00D60728">
              <w:rPr>
                <w:rFonts w:ascii="Times New Roman" w:hAnsi="Times New Roman"/>
                <w:i/>
                <w:sz w:val="20"/>
                <w:szCs w:val="20"/>
              </w:rPr>
              <w:t>Analiza i istraživanje scenarija zadovoljenja udjela naprednih goriva do 2030. godine kroz razvoj tehnoloških kapaciteta koji imaju najveću dodanu vrijednost i učinak multiplikatora na domaće gospodarstvo. Cilj spomenute analize je utvrditi moguće kapacitete s lokacijama za domaću proizvodnju na temelju dostupnosti sirovine i tehnoloških mogućnosti (postojećih i mogućih) te identificirati dionike, potrebe i barijere za razvoj tržišta naprednih goriva.</w:t>
            </w:r>
          </w:p>
          <w:p w:rsidR="00D60728" w:rsidRPr="00D60728" w:rsidRDefault="00D60728" w:rsidP="00BF7DCC">
            <w:pPr>
              <w:pStyle w:val="ListParagraph"/>
              <w:numPr>
                <w:ilvl w:val="0"/>
                <w:numId w:val="75"/>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Izrada, usvajanje i provođenje Plana i Programa proizvodnje i korištenja biogoriva u prometu. Plan se temelji na prilagođenom zakonodavnom okviru (MEN-19 i MTR-5) te rezultatima analize u točki 1. Planom će se utvrditi politika promicanja proizvodnje i uporabe naprednih biogoriva u prijevozu u Republici Hrvatskoj. Plan će sadržati trenutačni pregled i procjenu stanja na tržištu biogoriva, nove poslovne modele, dionike, mjere za promicanje povećane proizvodnje i korištenja naprednih biogoriva u prometu te trajektorije za postizanje cilja naprednih goriva u prijevozu do 2030. Mjere propisane planom uključivat će mjere usmjerene na proizvodnju naprednih biogoriva iz sirovine iz dijela A Direktive (EU) 2018/2001 o promicanju uporabe energije iz obnovljivih izvora, mjere za korištenje naprednih biogoriva, mjere za istraživanje i razvoj, jačanje tržišta, administrativne mjere. Plan će omogućiti privlačenje najavljenih investicija za zero-pollution Europe. </w:t>
            </w:r>
          </w:p>
          <w:p w:rsidR="00D60728" w:rsidRPr="00D60728" w:rsidRDefault="00D60728" w:rsidP="00BF7DCC">
            <w:pPr>
              <w:pStyle w:val="ListParagraph"/>
              <w:numPr>
                <w:ilvl w:val="0"/>
                <w:numId w:val="75"/>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Uspostavljanje modela za promociju i razvoj tržišta naprednih biogoriva u prijevozu od strane Ministarstva, uključujući i formiranje financijskih potpora kroz postojeće programe (npr. Program ruralnog razvoja, HAMAG-BICRO, BBI JU) za projekte naprednih biogoriva.</w:t>
            </w:r>
          </w:p>
        </w:tc>
      </w:tr>
      <w:tr w:rsidR="003326BB" w:rsidRPr="00D60728" w:rsidTr="003326BB">
        <w:trPr>
          <w:trHeight w:val="1191"/>
        </w:trPr>
        <w:tc>
          <w:tcPr>
            <w:tcW w:w="1129" w:type="dxa"/>
            <w:vMerge/>
            <w:vAlign w:val="center"/>
            <w:hideMark/>
          </w:tcPr>
          <w:p w:rsidR="003326BB" w:rsidRPr="00D60728" w:rsidRDefault="003326BB" w:rsidP="00BF7DCC">
            <w:pPr>
              <w:spacing w:line="240" w:lineRule="auto"/>
              <w:jc w:val="left"/>
              <w:rPr>
                <w:rFonts w:ascii="Times New Roman" w:hAnsi="Times New Roman"/>
                <w:sz w:val="20"/>
                <w:szCs w:val="20"/>
              </w:rPr>
            </w:pPr>
          </w:p>
        </w:tc>
        <w:tc>
          <w:tcPr>
            <w:tcW w:w="1418" w:type="dxa"/>
            <w:vAlign w:val="center"/>
            <w:hideMark/>
          </w:tcPr>
          <w:p w:rsidR="003326BB" w:rsidRPr="00D60728" w:rsidRDefault="003326BB"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3326BB" w:rsidRDefault="003326BB"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p w:rsidR="003326BB" w:rsidRDefault="003326BB" w:rsidP="00BF7DCC">
            <w:pPr>
              <w:spacing w:line="240" w:lineRule="auto"/>
              <w:rPr>
                <w:rFonts w:ascii="Times New Roman" w:hAnsi="Times New Roman"/>
                <w:i/>
                <w:iCs/>
                <w:sz w:val="20"/>
                <w:szCs w:val="20"/>
              </w:rPr>
            </w:pPr>
            <w:r>
              <w:rPr>
                <w:rFonts w:ascii="Times New Roman" w:hAnsi="Times New Roman"/>
                <w:i/>
                <w:iCs/>
                <w:sz w:val="20"/>
                <w:szCs w:val="20"/>
              </w:rPr>
              <w:t>MPŠ</w:t>
            </w:r>
          </w:p>
          <w:p w:rsidR="003326BB" w:rsidRDefault="003326BB" w:rsidP="00BF7DCC">
            <w:pPr>
              <w:spacing w:line="240" w:lineRule="auto"/>
              <w:rPr>
                <w:rFonts w:ascii="Times New Roman" w:hAnsi="Times New Roman"/>
                <w:i/>
                <w:iCs/>
                <w:sz w:val="20"/>
                <w:szCs w:val="20"/>
              </w:rPr>
            </w:pPr>
            <w:r>
              <w:rPr>
                <w:rFonts w:ascii="Times New Roman" w:hAnsi="Times New Roman"/>
                <w:i/>
                <w:iCs/>
                <w:sz w:val="20"/>
                <w:szCs w:val="20"/>
              </w:rPr>
              <w:t>MGIP</w:t>
            </w:r>
          </w:p>
          <w:p w:rsidR="003326BB" w:rsidRPr="00D60728" w:rsidRDefault="003326BB" w:rsidP="00BF7DCC">
            <w:pPr>
              <w:spacing w:line="240" w:lineRule="auto"/>
              <w:rPr>
                <w:rFonts w:ascii="Times New Roman" w:hAnsi="Times New Roman"/>
                <w:i/>
                <w:iCs/>
                <w:sz w:val="20"/>
                <w:szCs w:val="20"/>
              </w:rPr>
            </w:pPr>
            <w:r>
              <w:rPr>
                <w:rFonts w:ascii="Times New Roman" w:hAnsi="Times New Roman"/>
                <w:i/>
                <w:iCs/>
                <w:sz w:val="20"/>
                <w:szCs w:val="20"/>
              </w:rPr>
              <w:t>MFIN</w:t>
            </w:r>
          </w:p>
        </w:tc>
      </w:tr>
      <w:tr w:rsidR="00D60728" w:rsidRPr="00D60728" w:rsidTr="00583AD4">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Financijska sredstva za provedbu ovih aktivnosti planiraju nadležna ministarstva (MZOE, Ministarstvo poljoprivrede) u okviru svojih godišnjih proračuna, kao sastavni dio svojih redovnih aktivnosti.</w:t>
            </w:r>
          </w:p>
          <w:p w:rsidR="00D60728" w:rsidRPr="00D60728" w:rsidRDefault="00D6072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(nadležna ministarstva), EU sredstva</w:t>
            </w:r>
          </w:p>
        </w:tc>
      </w:tr>
      <w:tr w:rsidR="003326BB" w:rsidRPr="00D60728" w:rsidTr="003326BB">
        <w:trPr>
          <w:trHeight w:val="1134"/>
        </w:trPr>
        <w:tc>
          <w:tcPr>
            <w:tcW w:w="1129" w:type="dxa"/>
            <w:vMerge w:val="restart"/>
            <w:vAlign w:val="center"/>
            <w:hideMark/>
          </w:tcPr>
          <w:p w:rsidR="003326BB" w:rsidRPr="00D60728" w:rsidRDefault="003326BB" w:rsidP="00BF7DCC">
            <w:pPr>
              <w:spacing w:line="240" w:lineRule="auto"/>
              <w:jc w:val="left"/>
              <w:rPr>
                <w:rFonts w:ascii="Times New Roman" w:hAnsi="Times New Roman"/>
                <w:sz w:val="20"/>
                <w:szCs w:val="20"/>
              </w:rPr>
            </w:pPr>
            <w:r w:rsidRPr="00D60728">
              <w:rPr>
                <w:rFonts w:ascii="Times New Roman" w:hAnsi="Times New Roman"/>
                <w:sz w:val="20"/>
                <w:szCs w:val="20"/>
              </w:rPr>
              <w:lastRenderedPageBreak/>
              <w:t>Praćenje provedbe</w:t>
            </w:r>
          </w:p>
        </w:tc>
        <w:tc>
          <w:tcPr>
            <w:tcW w:w="1418" w:type="dxa"/>
            <w:vAlign w:val="center"/>
          </w:tcPr>
          <w:p w:rsidR="003326BB" w:rsidRPr="00D60728" w:rsidRDefault="003326BB"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3326BB" w:rsidRPr="00D60728" w:rsidRDefault="003326BB"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Pr>
                <w:rFonts w:ascii="Times New Roman" w:hAnsi="Times New Roman"/>
                <w:i/>
                <w:iCs/>
                <w:sz w:val="20"/>
                <w:szCs w:val="20"/>
              </w:rPr>
              <w:t>a</w:t>
            </w:r>
            <w:r w:rsidRPr="00D60728">
              <w:rPr>
                <w:rFonts w:ascii="Times New Roman" w:hAnsi="Times New Roman"/>
                <w:i/>
                <w:iCs/>
                <w:sz w:val="20"/>
                <w:szCs w:val="20"/>
              </w:rPr>
              <w:t xml:space="preserve">kceleracija razvoja tržišta naprednih goriva i povećanje udjela OIE u finalnoj potrošnji energije u prometu, </w:t>
            </w:r>
          </w:p>
          <w:p w:rsidR="003326BB" w:rsidRPr="00D60728" w:rsidRDefault="003326BB"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smanjenje emisija u prometu, </w:t>
            </w:r>
          </w:p>
          <w:p w:rsidR="003326BB" w:rsidRPr="00D60728" w:rsidRDefault="003326BB"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ugljičnog otiska dionika biogospodarstva.</w:t>
            </w:r>
          </w:p>
        </w:tc>
      </w:tr>
      <w:tr w:rsidR="003326BB" w:rsidRPr="00D60728" w:rsidTr="002A3E94">
        <w:trPr>
          <w:trHeight w:val="1120"/>
        </w:trPr>
        <w:tc>
          <w:tcPr>
            <w:tcW w:w="1129" w:type="dxa"/>
            <w:vMerge/>
            <w:vAlign w:val="center"/>
            <w:hideMark/>
          </w:tcPr>
          <w:p w:rsidR="003326BB" w:rsidRPr="00D60728" w:rsidRDefault="003326BB" w:rsidP="00BF7DCC">
            <w:pPr>
              <w:spacing w:line="240" w:lineRule="auto"/>
              <w:jc w:val="left"/>
              <w:rPr>
                <w:rFonts w:ascii="Times New Roman" w:hAnsi="Times New Roman"/>
                <w:sz w:val="20"/>
                <w:szCs w:val="20"/>
              </w:rPr>
            </w:pPr>
          </w:p>
        </w:tc>
        <w:tc>
          <w:tcPr>
            <w:tcW w:w="1418" w:type="dxa"/>
            <w:vAlign w:val="center"/>
          </w:tcPr>
          <w:p w:rsidR="003326BB" w:rsidRPr="00D60728" w:rsidRDefault="003326BB"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3326BB" w:rsidRPr="00D60728" w:rsidRDefault="003326BB"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Izvješća o količini OIE stavljenoj na tržište u prometnom sektoru</w:t>
            </w:r>
          </w:p>
        </w:tc>
      </w:tr>
    </w:tbl>
    <w:p w:rsidR="00A4381B" w:rsidRDefault="00A4381B" w:rsidP="00BF7DCC">
      <w:pPr>
        <w:pStyle w:val="Heading3"/>
        <w:spacing w:before="0" w:line="240" w:lineRule="auto"/>
        <w:rPr>
          <w:rFonts w:ascii="Times New Roman" w:hAnsi="Times New Roman" w:cs="Times New Roman"/>
        </w:rPr>
      </w:pPr>
    </w:p>
    <w:p w:rsidR="00A4381B" w:rsidRDefault="00A4381B" w:rsidP="00BF7DCC">
      <w:pPr>
        <w:pStyle w:val="Heading3"/>
        <w:spacing w:before="0" w:line="240" w:lineRule="auto"/>
        <w:rPr>
          <w:rFonts w:ascii="Times New Roman" w:hAnsi="Times New Roman" w:cs="Times New Roman"/>
        </w:rPr>
      </w:pPr>
    </w:p>
    <w:p w:rsidR="00742F0A" w:rsidRPr="00D60728" w:rsidRDefault="00742F0A" w:rsidP="00BF7DCC">
      <w:pPr>
        <w:pStyle w:val="Heading3"/>
        <w:spacing w:before="0" w:line="240" w:lineRule="auto"/>
        <w:rPr>
          <w:rFonts w:ascii="Times New Roman" w:hAnsi="Times New Roman" w:cs="Times New Roman"/>
        </w:rPr>
      </w:pPr>
      <w:bookmarkStart w:id="27" w:name="_Toc34147571"/>
      <w:r w:rsidRPr="00D60728">
        <w:rPr>
          <w:rFonts w:ascii="Times New Roman" w:hAnsi="Times New Roman" w:cs="Times New Roman"/>
        </w:rPr>
        <w:t>3.3.</w:t>
      </w:r>
      <w:r w:rsidR="00E667C3" w:rsidRPr="00D60728">
        <w:rPr>
          <w:rFonts w:ascii="Times New Roman" w:hAnsi="Times New Roman" w:cs="Times New Roman"/>
        </w:rPr>
        <w:t>3</w:t>
      </w:r>
      <w:r w:rsidRPr="00D60728">
        <w:rPr>
          <w:rFonts w:ascii="Times New Roman" w:hAnsi="Times New Roman" w:cs="Times New Roman"/>
        </w:rPr>
        <w:t>.</w:t>
      </w:r>
      <w:r w:rsidRPr="00D60728">
        <w:rPr>
          <w:rFonts w:ascii="Times New Roman" w:hAnsi="Times New Roman" w:cs="Times New Roman"/>
        </w:rPr>
        <w:tab/>
        <w:t>Industrija</w:t>
      </w:r>
      <w:bookmarkEnd w:id="23"/>
      <w:bookmarkEnd w:id="24"/>
      <w:bookmarkEnd w:id="25"/>
      <w:bookmarkEnd w:id="26"/>
      <w:bookmarkEnd w:id="27"/>
    </w:p>
    <w:p w:rsidR="00251220" w:rsidRPr="00D60728" w:rsidRDefault="00251220" w:rsidP="00BF7DCC">
      <w:pPr>
        <w:spacing w:line="240" w:lineRule="auto"/>
        <w:rPr>
          <w:sz w:val="20"/>
          <w:szCs w:val="20"/>
        </w:rPr>
      </w:pPr>
    </w:p>
    <w:tbl>
      <w:tblPr>
        <w:tblStyle w:val="TableGrid"/>
        <w:tblW w:w="0" w:type="auto"/>
        <w:tblLook w:val="04A0" w:firstRow="1" w:lastRow="0" w:firstColumn="1" w:lastColumn="0" w:noHBand="0" w:noVBand="1"/>
      </w:tblPr>
      <w:tblGrid>
        <w:gridCol w:w="1908"/>
        <w:gridCol w:w="1818"/>
        <w:gridCol w:w="2712"/>
        <w:gridCol w:w="2622"/>
      </w:tblGrid>
      <w:tr w:rsidR="00251220" w:rsidRPr="00A4381B" w:rsidTr="00654F5A">
        <w:trPr>
          <w:trHeight w:val="454"/>
        </w:trPr>
        <w:tc>
          <w:tcPr>
            <w:tcW w:w="3764" w:type="dxa"/>
            <w:gridSpan w:val="2"/>
            <w:shd w:val="clear" w:color="auto" w:fill="D9D9D9" w:themeFill="background1" w:themeFillShade="D9"/>
            <w:vAlign w:val="center"/>
            <w:hideMark/>
          </w:tcPr>
          <w:p w:rsidR="00251220" w:rsidRPr="00A4381B" w:rsidRDefault="00251220" w:rsidP="00BF7DCC">
            <w:pPr>
              <w:spacing w:line="240" w:lineRule="auto"/>
              <w:ind w:right="57"/>
              <w:rPr>
                <w:rFonts w:ascii="Times New Roman" w:hAnsi="Times New Roman"/>
                <w:b/>
                <w:iCs/>
              </w:rPr>
            </w:pPr>
            <w:r w:rsidRPr="00A4381B">
              <w:rPr>
                <w:rFonts w:ascii="Times New Roman" w:hAnsi="Times New Roman"/>
                <w:b/>
                <w:iCs/>
              </w:rPr>
              <w:t>Naziv mjere</w:t>
            </w:r>
          </w:p>
        </w:tc>
        <w:tc>
          <w:tcPr>
            <w:tcW w:w="5411" w:type="dxa"/>
            <w:gridSpan w:val="2"/>
            <w:shd w:val="clear" w:color="auto" w:fill="D9D9D9" w:themeFill="background1" w:themeFillShade="D9"/>
            <w:vAlign w:val="center"/>
            <w:hideMark/>
          </w:tcPr>
          <w:p w:rsidR="00251220" w:rsidRPr="00A4381B" w:rsidRDefault="00251220" w:rsidP="00BF7DCC">
            <w:pPr>
              <w:spacing w:line="240" w:lineRule="auto"/>
              <w:ind w:right="57"/>
              <w:rPr>
                <w:rFonts w:ascii="Times New Roman" w:hAnsi="Times New Roman"/>
                <w:b/>
                <w:i/>
                <w:iCs/>
              </w:rPr>
            </w:pPr>
            <w:r w:rsidRPr="00A4381B">
              <w:rPr>
                <w:rFonts w:ascii="Times New Roman" w:hAnsi="Times New Roman"/>
                <w:b/>
                <w:i/>
              </w:rPr>
              <w:t>Smanjenje udjela klinkera u proizvodnji cementa</w:t>
            </w:r>
          </w:p>
        </w:tc>
      </w:tr>
      <w:tr w:rsidR="00251220" w:rsidRPr="00D60728" w:rsidTr="00654F5A">
        <w:trPr>
          <w:trHeight w:val="454"/>
        </w:trPr>
        <w:tc>
          <w:tcPr>
            <w:tcW w:w="3764" w:type="dxa"/>
            <w:gridSpan w:val="2"/>
            <w:vAlign w:val="center"/>
            <w:hideMark/>
          </w:tcPr>
          <w:p w:rsidR="00251220" w:rsidRPr="00D60728" w:rsidRDefault="00251220"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411"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MIP-1</w:t>
            </w:r>
          </w:p>
        </w:tc>
      </w:tr>
      <w:tr w:rsidR="00251220" w:rsidRPr="00D60728" w:rsidTr="00654F5A">
        <w:trPr>
          <w:trHeight w:val="454"/>
        </w:trPr>
        <w:tc>
          <w:tcPr>
            <w:tcW w:w="1931"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33"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411"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Ekonomska, okolišna</w:t>
            </w:r>
          </w:p>
        </w:tc>
      </w:tr>
      <w:tr w:rsidR="00251220" w:rsidRPr="00D60728" w:rsidTr="00654F5A">
        <w:trPr>
          <w:trHeight w:val="454"/>
        </w:trPr>
        <w:tc>
          <w:tcPr>
            <w:tcW w:w="1931" w:type="dxa"/>
            <w:vMerge/>
            <w:vAlign w:val="center"/>
            <w:hideMark/>
          </w:tcPr>
          <w:p w:rsidR="00251220" w:rsidRPr="00D60728" w:rsidRDefault="00251220" w:rsidP="00BF7DCC">
            <w:pPr>
              <w:spacing w:line="240" w:lineRule="auto"/>
              <w:rPr>
                <w:rFonts w:ascii="Times New Roman" w:hAnsi="Times New Roman"/>
                <w:sz w:val="20"/>
                <w:szCs w:val="20"/>
              </w:rPr>
            </w:pPr>
          </w:p>
        </w:tc>
        <w:tc>
          <w:tcPr>
            <w:tcW w:w="1833"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411" w:type="dxa"/>
            <w:gridSpan w:val="2"/>
            <w:vAlign w:val="center"/>
            <w:hideMark/>
          </w:tcPr>
          <w:p w:rsidR="00251220" w:rsidRPr="00D60728" w:rsidRDefault="00251220" w:rsidP="00BF7DCC">
            <w:pPr>
              <w:spacing w:line="240" w:lineRule="auto"/>
              <w:rPr>
                <w:rFonts w:ascii="Times New Roman" w:hAnsi="Times New Roman"/>
                <w:i/>
                <w:iCs/>
                <w:color w:val="A6A6A6" w:themeColor="background1" w:themeShade="A6"/>
                <w:sz w:val="20"/>
                <w:szCs w:val="20"/>
              </w:rPr>
            </w:pPr>
            <w:r w:rsidRPr="00D60728">
              <w:rPr>
                <w:rFonts w:ascii="Times New Roman" w:hAnsi="Times New Roman"/>
                <w:i/>
                <w:iCs/>
                <w:sz w:val="20"/>
                <w:szCs w:val="20"/>
              </w:rPr>
              <w:t>Početak: 2020.</w:t>
            </w:r>
          </w:p>
        </w:tc>
      </w:tr>
      <w:tr w:rsidR="00251220" w:rsidRPr="00D60728" w:rsidTr="00654F5A">
        <w:trPr>
          <w:trHeight w:val="454"/>
        </w:trPr>
        <w:tc>
          <w:tcPr>
            <w:tcW w:w="1931" w:type="dxa"/>
            <w:vMerge/>
            <w:vAlign w:val="center"/>
            <w:hideMark/>
          </w:tcPr>
          <w:p w:rsidR="00251220" w:rsidRPr="00D60728" w:rsidRDefault="00251220" w:rsidP="00BF7DCC">
            <w:pPr>
              <w:spacing w:line="240" w:lineRule="auto"/>
              <w:rPr>
                <w:rFonts w:ascii="Times New Roman" w:hAnsi="Times New Roman"/>
                <w:sz w:val="20"/>
                <w:szCs w:val="20"/>
              </w:rPr>
            </w:pPr>
          </w:p>
        </w:tc>
        <w:tc>
          <w:tcPr>
            <w:tcW w:w="1833" w:type="dxa"/>
            <w:vMerge/>
            <w:vAlign w:val="center"/>
            <w:hideMark/>
          </w:tcPr>
          <w:p w:rsidR="00251220" w:rsidRPr="00D60728" w:rsidRDefault="00251220" w:rsidP="00BF7DCC">
            <w:pPr>
              <w:spacing w:line="240" w:lineRule="auto"/>
              <w:rPr>
                <w:rFonts w:ascii="Times New Roman" w:hAnsi="Times New Roman"/>
                <w:sz w:val="20"/>
                <w:szCs w:val="20"/>
              </w:rPr>
            </w:pPr>
          </w:p>
        </w:tc>
        <w:tc>
          <w:tcPr>
            <w:tcW w:w="5411"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Kraj: 2024. (2050.)</w:t>
            </w:r>
          </w:p>
        </w:tc>
      </w:tr>
      <w:tr w:rsidR="00251220" w:rsidRPr="00D60728" w:rsidTr="00654F5A">
        <w:trPr>
          <w:trHeight w:val="454"/>
        </w:trPr>
        <w:tc>
          <w:tcPr>
            <w:tcW w:w="1931" w:type="dxa"/>
            <w:vMerge/>
            <w:vAlign w:val="center"/>
            <w:hideMark/>
          </w:tcPr>
          <w:p w:rsidR="00251220" w:rsidRPr="00D60728" w:rsidRDefault="00251220" w:rsidP="00BF7DCC">
            <w:pPr>
              <w:spacing w:line="240" w:lineRule="auto"/>
              <w:rPr>
                <w:rFonts w:ascii="Times New Roman" w:hAnsi="Times New Roman"/>
                <w:sz w:val="20"/>
                <w:szCs w:val="20"/>
              </w:rPr>
            </w:pPr>
          </w:p>
        </w:tc>
        <w:tc>
          <w:tcPr>
            <w:tcW w:w="1833"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411" w:type="dxa"/>
            <w:gridSpan w:val="2"/>
            <w:vAlign w:val="center"/>
          </w:tcPr>
          <w:p w:rsidR="00251220" w:rsidRPr="00D60728" w:rsidRDefault="00251220" w:rsidP="00BF7DCC">
            <w:pPr>
              <w:pStyle w:val="ListParagraph"/>
              <w:numPr>
                <w:ilvl w:val="0"/>
                <w:numId w:val="37"/>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Smanjenje emisije stakleničkih plinova;</w:t>
            </w:r>
          </w:p>
          <w:p w:rsidR="00251220" w:rsidRPr="00D60728" w:rsidRDefault="00251220" w:rsidP="00BF7DCC">
            <w:pPr>
              <w:pStyle w:val="ListParagraph"/>
              <w:numPr>
                <w:ilvl w:val="0"/>
                <w:numId w:val="37"/>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Energetska efikasnost;</w:t>
            </w:r>
          </w:p>
          <w:p w:rsidR="00251220" w:rsidRPr="00D60728" w:rsidRDefault="00251220" w:rsidP="00BF7DCC">
            <w:pPr>
              <w:pStyle w:val="ListParagraph"/>
              <w:numPr>
                <w:ilvl w:val="0"/>
                <w:numId w:val="37"/>
              </w:numPr>
              <w:spacing w:line="240" w:lineRule="auto"/>
              <w:ind w:left="234" w:hanging="234"/>
              <w:contextualSpacing w:val="0"/>
              <w:jc w:val="left"/>
              <w:rPr>
                <w:rFonts w:ascii="Times New Roman" w:hAnsi="Times New Roman"/>
                <w:i/>
                <w:iCs/>
                <w:color w:val="A6A6A6" w:themeColor="background1" w:themeShade="A6"/>
                <w:sz w:val="20"/>
                <w:szCs w:val="20"/>
              </w:rPr>
            </w:pPr>
            <w:r w:rsidRPr="00D60728">
              <w:rPr>
                <w:rFonts w:ascii="Times New Roman" w:hAnsi="Times New Roman"/>
                <w:i/>
                <w:iCs/>
                <w:sz w:val="20"/>
                <w:szCs w:val="20"/>
              </w:rPr>
              <w:t>Ekonomska isplativost.</w:t>
            </w:r>
          </w:p>
        </w:tc>
      </w:tr>
      <w:tr w:rsidR="00251220" w:rsidRPr="00D60728" w:rsidTr="00654F5A">
        <w:trPr>
          <w:trHeight w:val="454"/>
        </w:trPr>
        <w:tc>
          <w:tcPr>
            <w:tcW w:w="1931" w:type="dxa"/>
            <w:vMerge/>
            <w:vAlign w:val="center"/>
          </w:tcPr>
          <w:p w:rsidR="00251220" w:rsidRPr="00D60728" w:rsidRDefault="00251220" w:rsidP="00BF7DCC">
            <w:pPr>
              <w:spacing w:line="240" w:lineRule="auto"/>
              <w:rPr>
                <w:rFonts w:ascii="Times New Roman" w:hAnsi="Times New Roman"/>
                <w:sz w:val="20"/>
                <w:szCs w:val="20"/>
              </w:rPr>
            </w:pPr>
          </w:p>
        </w:tc>
        <w:tc>
          <w:tcPr>
            <w:tcW w:w="1833" w:type="dxa"/>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411" w:type="dxa"/>
            <w:gridSpan w:val="2"/>
            <w:vAlign w:val="center"/>
          </w:tcPr>
          <w:p w:rsidR="00251220" w:rsidRPr="00D60728" w:rsidRDefault="00251220" w:rsidP="00BF7DCC">
            <w:pPr>
              <w:spacing w:line="240" w:lineRule="auto"/>
              <w:rPr>
                <w:rFonts w:ascii="Times New Roman" w:hAnsi="Times New Roman"/>
                <w:i/>
                <w:sz w:val="20"/>
                <w:szCs w:val="20"/>
              </w:rPr>
            </w:pPr>
            <w:r w:rsidRPr="00D60728">
              <w:rPr>
                <w:rFonts w:ascii="Times New Roman" w:hAnsi="Times New Roman"/>
                <w:i/>
                <w:sz w:val="20"/>
                <w:szCs w:val="20"/>
              </w:rPr>
              <w:t>Od ukupne direktne emisije ugljikovog dioksida (CO</w:t>
            </w:r>
            <w:r w:rsidRPr="00D60728">
              <w:rPr>
                <w:rFonts w:ascii="Times New Roman" w:hAnsi="Times New Roman"/>
                <w:i/>
                <w:sz w:val="20"/>
                <w:szCs w:val="20"/>
                <w:vertAlign w:val="subscript"/>
              </w:rPr>
              <w:t>2</w:t>
            </w:r>
            <w:r w:rsidRPr="00D60728">
              <w:rPr>
                <w:rFonts w:ascii="Times New Roman" w:hAnsi="Times New Roman"/>
                <w:i/>
                <w:sz w:val="20"/>
                <w:szCs w:val="20"/>
                <w:vertAlign w:val="superscript"/>
              </w:rPr>
              <w:t>)</w:t>
            </w:r>
            <w:r w:rsidRPr="00D60728">
              <w:rPr>
                <w:rFonts w:ascii="Times New Roman" w:hAnsi="Times New Roman"/>
                <w:i/>
                <w:sz w:val="20"/>
                <w:szCs w:val="20"/>
              </w:rPr>
              <w:t xml:space="preserve"> iz proizvodnje cementa, oko 60 posto se odnosi na proces proizvodnje klinkera, a ostalih 40 posto čine emisije uslijed izgaranja goriva u rotacijskoj peći i za druge potrebe u procesu proizvodnje cementa. Smanjenjem udjela klinkera, odnosno povećanjem udjela mineralnih dodataka u proizvodnji cementa, smanjuje se potrebna količina proizvedenog klinkera, što doprinosi smanjenju ukupne emisije CO</w:t>
            </w:r>
            <w:r w:rsidRPr="00D60728">
              <w:rPr>
                <w:rFonts w:ascii="Times New Roman" w:hAnsi="Times New Roman"/>
                <w:i/>
                <w:sz w:val="20"/>
                <w:szCs w:val="20"/>
                <w:vertAlign w:val="subscript"/>
              </w:rPr>
              <w:t>2</w:t>
            </w:r>
            <w:r w:rsidRPr="00D60728">
              <w:rPr>
                <w:rFonts w:ascii="Times New Roman" w:hAnsi="Times New Roman"/>
                <w:i/>
                <w:sz w:val="20"/>
                <w:szCs w:val="20"/>
              </w:rPr>
              <w:t xml:space="preserve"> u proizvodnji cementa.</w:t>
            </w:r>
          </w:p>
          <w:p w:rsidR="00251220" w:rsidRPr="00D60728" w:rsidRDefault="00251220" w:rsidP="00BF7DCC">
            <w:pPr>
              <w:spacing w:line="240" w:lineRule="auto"/>
              <w:rPr>
                <w:rFonts w:ascii="Times New Roman" w:hAnsi="Times New Roman"/>
                <w:i/>
                <w:iCs/>
                <w:color w:val="A6A6A6" w:themeColor="background1" w:themeShade="A6"/>
                <w:sz w:val="20"/>
                <w:szCs w:val="20"/>
              </w:rPr>
            </w:pPr>
            <w:r w:rsidRPr="00D60728">
              <w:rPr>
                <w:rFonts w:ascii="Times New Roman" w:hAnsi="Times New Roman"/>
                <w:i/>
                <w:sz w:val="20"/>
                <w:szCs w:val="20"/>
              </w:rPr>
              <w:t xml:space="preserve">Udio klinkera u cementu definiran je normom HRN EN 197-1. Povećanje udjela mineralnih dodataka u cementu ovisno je o sastavu sirovine, raspoloživosti dodataka odgovarajućeg sastava na tržištu te o zahtjevima tržišta za pojedinim vrstama cementa s većim udjelom dodataka, a manjim udjelom klinkera. </w:t>
            </w:r>
          </w:p>
        </w:tc>
      </w:tr>
      <w:tr w:rsidR="00251220" w:rsidRPr="00D60728" w:rsidTr="00654F5A">
        <w:trPr>
          <w:trHeight w:val="454"/>
        </w:trPr>
        <w:tc>
          <w:tcPr>
            <w:tcW w:w="1931" w:type="dxa"/>
            <w:vMerge/>
            <w:vAlign w:val="center"/>
            <w:hideMark/>
          </w:tcPr>
          <w:p w:rsidR="00251220" w:rsidRPr="00D60728" w:rsidRDefault="00251220" w:rsidP="00BF7DCC">
            <w:pPr>
              <w:spacing w:line="240" w:lineRule="auto"/>
              <w:rPr>
                <w:rFonts w:ascii="Times New Roman" w:hAnsi="Times New Roman"/>
                <w:sz w:val="20"/>
                <w:szCs w:val="20"/>
              </w:rPr>
            </w:pPr>
          </w:p>
        </w:tc>
        <w:tc>
          <w:tcPr>
            <w:tcW w:w="1833"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411" w:type="dxa"/>
            <w:gridSpan w:val="2"/>
            <w:vAlign w:val="center"/>
            <w:hideMark/>
          </w:tcPr>
          <w:p w:rsidR="00251220" w:rsidRPr="00D60728" w:rsidRDefault="00251220" w:rsidP="00BF7DCC">
            <w:pPr>
              <w:autoSpaceDE w:val="0"/>
              <w:autoSpaceDN w:val="0"/>
              <w:adjustRightInd w:val="0"/>
              <w:spacing w:line="240" w:lineRule="auto"/>
              <w:rPr>
                <w:rFonts w:ascii="Times New Roman" w:hAnsi="Times New Roman"/>
                <w:i/>
                <w:color w:val="A6A6A6" w:themeColor="background1" w:themeShade="A6"/>
                <w:sz w:val="20"/>
                <w:szCs w:val="20"/>
              </w:rPr>
            </w:pPr>
            <w:r w:rsidRPr="00D60728">
              <w:rPr>
                <w:rFonts w:ascii="Times New Roman" w:hAnsi="Times New Roman"/>
                <w:i/>
                <w:sz w:val="20"/>
                <w:szCs w:val="20"/>
              </w:rPr>
              <w:t>Operateri za proizvodnju cementa.</w:t>
            </w:r>
          </w:p>
        </w:tc>
      </w:tr>
      <w:tr w:rsidR="00251220" w:rsidRPr="00D60728" w:rsidTr="00654F5A">
        <w:trPr>
          <w:trHeight w:val="454"/>
        </w:trPr>
        <w:tc>
          <w:tcPr>
            <w:tcW w:w="1931"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33"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411" w:type="dxa"/>
            <w:gridSpan w:val="2"/>
            <w:vAlign w:val="center"/>
          </w:tcPr>
          <w:p w:rsidR="00251220" w:rsidRPr="00D60728" w:rsidRDefault="00251220" w:rsidP="00BF7DCC">
            <w:pPr>
              <w:pStyle w:val="ListParagraph"/>
              <w:numPr>
                <w:ilvl w:val="0"/>
                <w:numId w:val="3"/>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Definiranje raspoloživosti sirovine i potrebnih mineralnih dodataka;</w:t>
            </w:r>
          </w:p>
          <w:p w:rsidR="00251220" w:rsidRPr="00D60728" w:rsidRDefault="00251220" w:rsidP="00BF7DCC">
            <w:pPr>
              <w:pStyle w:val="ListParagraph"/>
              <w:numPr>
                <w:ilvl w:val="0"/>
                <w:numId w:val="3"/>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Definiranje sastava osnovnih minerala;</w:t>
            </w:r>
          </w:p>
          <w:p w:rsidR="00251220" w:rsidRPr="00D60728" w:rsidRDefault="00251220" w:rsidP="00BF7DCC">
            <w:pPr>
              <w:pStyle w:val="ListParagraph"/>
              <w:numPr>
                <w:ilvl w:val="0"/>
                <w:numId w:val="3"/>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Definiranje kvalitete proizvedenog klinkera;</w:t>
            </w:r>
          </w:p>
          <w:p w:rsidR="00251220" w:rsidRPr="00D60728" w:rsidRDefault="00251220" w:rsidP="00BF7DCC">
            <w:pPr>
              <w:pStyle w:val="ListParagraph"/>
              <w:numPr>
                <w:ilvl w:val="0"/>
                <w:numId w:val="3"/>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Definiranje cijene mineralnih dodataka;</w:t>
            </w:r>
          </w:p>
          <w:p w:rsidR="00251220" w:rsidRPr="00D60728" w:rsidRDefault="00251220" w:rsidP="00BF7DCC">
            <w:pPr>
              <w:pStyle w:val="ListParagraph"/>
              <w:numPr>
                <w:ilvl w:val="0"/>
                <w:numId w:val="3"/>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Definiranje zahtjeva tržišta;</w:t>
            </w:r>
          </w:p>
          <w:p w:rsidR="00251220" w:rsidRPr="00D60728" w:rsidRDefault="00251220" w:rsidP="00BF7DCC">
            <w:pPr>
              <w:pStyle w:val="ListParagraph"/>
              <w:numPr>
                <w:ilvl w:val="0"/>
                <w:numId w:val="3"/>
              </w:numPr>
              <w:spacing w:line="240" w:lineRule="auto"/>
              <w:ind w:left="284" w:hanging="284"/>
              <w:contextualSpacing w:val="0"/>
              <w:jc w:val="left"/>
              <w:rPr>
                <w:rFonts w:ascii="Times New Roman" w:hAnsi="Times New Roman"/>
                <w:i/>
                <w:color w:val="A6A6A6" w:themeColor="background1" w:themeShade="A6"/>
                <w:sz w:val="20"/>
                <w:szCs w:val="20"/>
              </w:rPr>
            </w:pPr>
            <w:r w:rsidRPr="00D60728">
              <w:rPr>
                <w:rFonts w:ascii="Times New Roman" w:hAnsi="Times New Roman"/>
                <w:i/>
                <w:sz w:val="20"/>
                <w:szCs w:val="20"/>
              </w:rPr>
              <w:t>Utvrđivanje smanjenja emisije CO</w:t>
            </w:r>
            <w:r w:rsidRPr="00D60728">
              <w:rPr>
                <w:rFonts w:ascii="Times New Roman" w:hAnsi="Times New Roman"/>
                <w:i/>
                <w:sz w:val="20"/>
                <w:szCs w:val="20"/>
                <w:vertAlign w:val="subscript"/>
              </w:rPr>
              <w:t>2</w:t>
            </w:r>
            <w:r w:rsidRPr="00D60728">
              <w:rPr>
                <w:rFonts w:ascii="Times New Roman" w:hAnsi="Times New Roman"/>
                <w:i/>
                <w:sz w:val="20"/>
                <w:szCs w:val="20"/>
              </w:rPr>
              <w:t>, smanjenja utroška energije i smanjenja financijskih izdataka za sirovinu.</w:t>
            </w:r>
          </w:p>
        </w:tc>
      </w:tr>
      <w:tr w:rsidR="00251220" w:rsidRPr="00D60728" w:rsidTr="00654F5A">
        <w:trPr>
          <w:trHeight w:val="454"/>
        </w:trPr>
        <w:tc>
          <w:tcPr>
            <w:tcW w:w="1931" w:type="dxa"/>
            <w:vMerge/>
            <w:vAlign w:val="center"/>
            <w:hideMark/>
          </w:tcPr>
          <w:p w:rsidR="00251220" w:rsidRPr="00D60728" w:rsidRDefault="00251220" w:rsidP="00BF7DCC">
            <w:pPr>
              <w:spacing w:line="240" w:lineRule="auto"/>
              <w:rPr>
                <w:rFonts w:ascii="Times New Roman" w:hAnsi="Times New Roman"/>
                <w:sz w:val="20"/>
                <w:szCs w:val="20"/>
              </w:rPr>
            </w:pPr>
          </w:p>
        </w:tc>
        <w:tc>
          <w:tcPr>
            <w:tcW w:w="1833"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411" w:type="dxa"/>
            <w:gridSpan w:val="2"/>
            <w:vAlign w:val="center"/>
          </w:tcPr>
          <w:p w:rsidR="00251220" w:rsidRPr="00D60728" w:rsidRDefault="00251220" w:rsidP="00BF7DCC">
            <w:pPr>
              <w:spacing w:line="240" w:lineRule="auto"/>
              <w:rPr>
                <w:rFonts w:ascii="Times New Roman" w:hAnsi="Times New Roman"/>
                <w:i/>
                <w:iCs/>
                <w:color w:val="A6A6A6" w:themeColor="background1" w:themeShade="A6"/>
                <w:sz w:val="20"/>
                <w:szCs w:val="20"/>
              </w:rPr>
            </w:pPr>
            <w:r w:rsidRPr="00D60728">
              <w:rPr>
                <w:rFonts w:ascii="Times New Roman" w:hAnsi="Times New Roman"/>
                <w:i/>
                <w:iCs/>
                <w:sz w:val="20"/>
                <w:szCs w:val="20"/>
              </w:rPr>
              <w:t xml:space="preserve">Operateri </w:t>
            </w:r>
            <w:r w:rsidRPr="00D60728">
              <w:rPr>
                <w:rFonts w:ascii="Times New Roman" w:hAnsi="Times New Roman"/>
                <w:i/>
                <w:sz w:val="20"/>
                <w:szCs w:val="20"/>
              </w:rPr>
              <w:t>za proizvodnju cementa.</w:t>
            </w:r>
          </w:p>
        </w:tc>
      </w:tr>
      <w:tr w:rsidR="00251220" w:rsidRPr="00D60728" w:rsidTr="00654F5A">
        <w:trPr>
          <w:trHeight w:val="454"/>
        </w:trPr>
        <w:tc>
          <w:tcPr>
            <w:tcW w:w="1931" w:type="dxa"/>
            <w:vMerge/>
            <w:vAlign w:val="center"/>
            <w:hideMark/>
          </w:tcPr>
          <w:p w:rsidR="00251220" w:rsidRPr="00D60728" w:rsidRDefault="00251220" w:rsidP="00BF7DCC">
            <w:pPr>
              <w:spacing w:line="240" w:lineRule="auto"/>
              <w:rPr>
                <w:rFonts w:ascii="Times New Roman" w:hAnsi="Times New Roman"/>
                <w:sz w:val="20"/>
                <w:szCs w:val="20"/>
              </w:rPr>
            </w:pPr>
          </w:p>
        </w:tc>
        <w:tc>
          <w:tcPr>
            <w:tcW w:w="1833"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411" w:type="dxa"/>
            <w:gridSpan w:val="2"/>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Izvršno tijelo:</w:t>
            </w:r>
          </w:p>
          <w:p w:rsidR="00251220" w:rsidRPr="00D60728" w:rsidRDefault="00251220" w:rsidP="00BF7DCC">
            <w:pPr>
              <w:pStyle w:val="ListParagraph"/>
              <w:numPr>
                <w:ilvl w:val="0"/>
                <w:numId w:val="33"/>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Croatia Cement g.i.u. (Udruženje hrvatskih tvornica cementa);</w:t>
            </w:r>
          </w:p>
          <w:p w:rsidR="00251220" w:rsidRPr="00D60728" w:rsidRDefault="00251220" w:rsidP="00BF7DCC">
            <w:pPr>
              <w:pStyle w:val="ListParagraph"/>
              <w:numPr>
                <w:ilvl w:val="0"/>
                <w:numId w:val="33"/>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CEMBUREAU (The European Cement Association);</w:t>
            </w:r>
          </w:p>
          <w:p w:rsidR="00251220" w:rsidRPr="00D60728" w:rsidRDefault="00251220" w:rsidP="00BF7DCC">
            <w:pPr>
              <w:pStyle w:val="ListParagraph"/>
              <w:numPr>
                <w:ilvl w:val="0"/>
                <w:numId w:val="33"/>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lastRenderedPageBreak/>
              <w:t>Hrvatska udruga poslodavaca;</w:t>
            </w:r>
          </w:p>
          <w:p w:rsidR="00251220" w:rsidRPr="00D60728" w:rsidRDefault="00251220" w:rsidP="00BF7DCC">
            <w:pPr>
              <w:pStyle w:val="ListParagraph"/>
              <w:numPr>
                <w:ilvl w:val="0"/>
                <w:numId w:val="33"/>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Hrvatska gospodarska komora.</w:t>
            </w:r>
          </w:p>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Tijelo za praćenje provedbe:</w:t>
            </w:r>
          </w:p>
          <w:p w:rsidR="00251220" w:rsidRPr="00D60728" w:rsidRDefault="00251220" w:rsidP="00BF7DCC">
            <w:pPr>
              <w:pStyle w:val="ListParagraph"/>
              <w:numPr>
                <w:ilvl w:val="0"/>
                <w:numId w:val="33"/>
              </w:numPr>
              <w:spacing w:line="240" w:lineRule="auto"/>
              <w:ind w:left="234" w:hanging="234"/>
              <w:contextualSpacing w:val="0"/>
              <w:jc w:val="left"/>
              <w:rPr>
                <w:rFonts w:ascii="Times New Roman" w:hAnsi="Times New Roman"/>
                <w:i/>
                <w:iCs/>
                <w:color w:val="A6A6A6" w:themeColor="background1" w:themeShade="A6"/>
                <w:sz w:val="20"/>
                <w:szCs w:val="20"/>
              </w:rPr>
            </w:pPr>
            <w:r w:rsidRPr="00D60728">
              <w:rPr>
                <w:rFonts w:ascii="Times New Roman" w:hAnsi="Times New Roman"/>
                <w:i/>
                <w:iCs/>
                <w:sz w:val="20"/>
                <w:szCs w:val="20"/>
              </w:rPr>
              <w:t>Ministarstvo zaštite okoliša i energetike.</w:t>
            </w:r>
          </w:p>
        </w:tc>
      </w:tr>
      <w:tr w:rsidR="00251220" w:rsidRPr="00D60728" w:rsidTr="00654F5A">
        <w:trPr>
          <w:trHeight w:val="454"/>
        </w:trPr>
        <w:tc>
          <w:tcPr>
            <w:tcW w:w="1931" w:type="dxa"/>
            <w:vMerge/>
            <w:vAlign w:val="center"/>
            <w:hideMark/>
          </w:tcPr>
          <w:p w:rsidR="00251220" w:rsidRPr="00D60728" w:rsidRDefault="00251220" w:rsidP="00BF7DCC">
            <w:pPr>
              <w:spacing w:line="240" w:lineRule="auto"/>
              <w:rPr>
                <w:rFonts w:ascii="Times New Roman" w:hAnsi="Times New Roman"/>
                <w:sz w:val="20"/>
                <w:szCs w:val="20"/>
              </w:rPr>
            </w:pPr>
          </w:p>
        </w:tc>
        <w:tc>
          <w:tcPr>
            <w:tcW w:w="1833"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411" w:type="dxa"/>
            <w:gridSpan w:val="2"/>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sredstva: 1.000.000 EUR</w:t>
            </w:r>
          </w:p>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sz w:val="20"/>
                <w:szCs w:val="20"/>
              </w:rPr>
              <w:t>Izvori financiranja: prihodi od prodaje emisijskih jedinica, korištenje sredstava Fonda za zaštitu okoliša i energetsku učinkovitost, Fonda za modernizaciju te strukturnih fondova EU.</w:t>
            </w:r>
          </w:p>
        </w:tc>
      </w:tr>
      <w:tr w:rsidR="00251220" w:rsidRPr="00D60728" w:rsidTr="00654F5A">
        <w:trPr>
          <w:trHeight w:val="454"/>
        </w:trPr>
        <w:tc>
          <w:tcPr>
            <w:tcW w:w="1931"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33" w:type="dxa"/>
            <w:vMerge w:val="restart"/>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52" w:type="dxa"/>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659" w:type="dxa"/>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145 kt CO2-eq u odnosu na referentni scenarij (2025. godina).</w:t>
            </w:r>
          </w:p>
        </w:tc>
      </w:tr>
      <w:tr w:rsidR="00251220" w:rsidRPr="00D60728" w:rsidTr="00654F5A">
        <w:trPr>
          <w:trHeight w:val="454"/>
        </w:trPr>
        <w:tc>
          <w:tcPr>
            <w:tcW w:w="1931" w:type="dxa"/>
            <w:vMerge/>
            <w:vAlign w:val="center"/>
          </w:tcPr>
          <w:p w:rsidR="00251220" w:rsidRPr="00D60728" w:rsidRDefault="00251220" w:rsidP="00BF7DCC">
            <w:pPr>
              <w:spacing w:line="240" w:lineRule="auto"/>
              <w:rPr>
                <w:rFonts w:ascii="Times New Roman" w:hAnsi="Times New Roman"/>
                <w:sz w:val="20"/>
                <w:szCs w:val="20"/>
              </w:rPr>
            </w:pPr>
          </w:p>
        </w:tc>
        <w:tc>
          <w:tcPr>
            <w:tcW w:w="1833" w:type="dxa"/>
            <w:vMerge/>
            <w:vAlign w:val="center"/>
          </w:tcPr>
          <w:p w:rsidR="00251220" w:rsidRPr="00D60728" w:rsidRDefault="00251220" w:rsidP="00BF7DCC">
            <w:pPr>
              <w:spacing w:line="240" w:lineRule="auto"/>
              <w:rPr>
                <w:rFonts w:ascii="Times New Roman" w:hAnsi="Times New Roman"/>
                <w:sz w:val="20"/>
                <w:szCs w:val="20"/>
              </w:rPr>
            </w:pPr>
          </w:p>
        </w:tc>
        <w:tc>
          <w:tcPr>
            <w:tcW w:w="5411" w:type="dxa"/>
            <w:gridSpan w:val="2"/>
            <w:vAlign w:val="center"/>
          </w:tcPr>
          <w:p w:rsidR="00251220" w:rsidRPr="00D60728" w:rsidRDefault="00251220" w:rsidP="00BF7DCC">
            <w:pPr>
              <w:pStyle w:val="ListParagraph"/>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Povećanje energetske učinkovitosti (smanjenje specifične potrošnje topline) uslijed smanjene proizvodnje klinkera;</w:t>
            </w:r>
          </w:p>
          <w:p w:rsidR="00251220" w:rsidRPr="00D60728" w:rsidRDefault="00251220" w:rsidP="00BF7DCC">
            <w:pPr>
              <w:pStyle w:val="ListParagraph"/>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Smanjeni financijski izdaci za sirovinu zbog znatno niže cijene mineralnih dodataka.</w:t>
            </w:r>
          </w:p>
        </w:tc>
      </w:tr>
      <w:tr w:rsidR="00251220" w:rsidRPr="00D60728" w:rsidTr="00654F5A">
        <w:trPr>
          <w:trHeight w:val="454"/>
        </w:trPr>
        <w:tc>
          <w:tcPr>
            <w:tcW w:w="1931" w:type="dxa"/>
            <w:vMerge/>
            <w:vAlign w:val="center"/>
            <w:hideMark/>
          </w:tcPr>
          <w:p w:rsidR="00251220" w:rsidRPr="00D60728" w:rsidRDefault="00251220" w:rsidP="00BF7DCC">
            <w:pPr>
              <w:spacing w:line="240" w:lineRule="auto"/>
              <w:rPr>
                <w:rFonts w:ascii="Times New Roman" w:hAnsi="Times New Roman"/>
                <w:sz w:val="20"/>
                <w:szCs w:val="20"/>
              </w:rPr>
            </w:pPr>
          </w:p>
        </w:tc>
        <w:tc>
          <w:tcPr>
            <w:tcW w:w="1833" w:type="dxa"/>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411" w:type="dxa"/>
            <w:gridSpan w:val="2"/>
            <w:vAlign w:val="center"/>
          </w:tcPr>
          <w:p w:rsidR="00251220" w:rsidRPr="00D60728" w:rsidRDefault="00251220" w:rsidP="00BF7DCC">
            <w:pPr>
              <w:spacing w:line="240" w:lineRule="auto"/>
              <w:rPr>
                <w:rFonts w:ascii="Times New Roman" w:hAnsi="Times New Roman"/>
                <w:i/>
                <w:color w:val="A6A6A6" w:themeColor="background1" w:themeShade="A6"/>
                <w:sz w:val="20"/>
                <w:szCs w:val="20"/>
              </w:rPr>
            </w:pPr>
            <w:r w:rsidRPr="00D60728">
              <w:rPr>
                <w:rFonts w:ascii="Times New Roman" w:hAnsi="Times New Roman"/>
                <w:i/>
                <w:iCs/>
                <w:sz w:val="20"/>
                <w:szCs w:val="20"/>
              </w:rPr>
              <w:t>Ostvareno smanjenje proizvedenog klinkera po cementari, a zbog zamjene s mineralnim dodatkom.</w:t>
            </w:r>
          </w:p>
        </w:tc>
      </w:tr>
      <w:tr w:rsidR="00251220" w:rsidRPr="00D60728" w:rsidTr="00654F5A">
        <w:trPr>
          <w:trHeight w:val="454"/>
        </w:trPr>
        <w:tc>
          <w:tcPr>
            <w:tcW w:w="1931" w:type="dxa"/>
            <w:vMerge/>
            <w:vAlign w:val="center"/>
            <w:hideMark/>
          </w:tcPr>
          <w:p w:rsidR="00251220" w:rsidRPr="00D60728" w:rsidRDefault="00251220" w:rsidP="00BF7DCC">
            <w:pPr>
              <w:spacing w:line="240" w:lineRule="auto"/>
              <w:rPr>
                <w:rFonts w:ascii="Times New Roman" w:hAnsi="Times New Roman"/>
                <w:sz w:val="20"/>
                <w:szCs w:val="20"/>
              </w:rPr>
            </w:pPr>
          </w:p>
        </w:tc>
        <w:tc>
          <w:tcPr>
            <w:tcW w:w="1833"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411" w:type="dxa"/>
            <w:gridSpan w:val="2"/>
            <w:vAlign w:val="center"/>
          </w:tcPr>
          <w:p w:rsidR="00251220" w:rsidRPr="00D60728" w:rsidRDefault="00251220" w:rsidP="00BF7DCC">
            <w:pPr>
              <w:pStyle w:val="ListParagraph"/>
              <w:numPr>
                <w:ilvl w:val="0"/>
                <w:numId w:val="35"/>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Nacionalni inventar stakleničkih plinova;</w:t>
            </w:r>
          </w:p>
          <w:p w:rsidR="00251220" w:rsidRPr="00D60728" w:rsidRDefault="00251220" w:rsidP="00BF7DCC">
            <w:pPr>
              <w:pStyle w:val="ListParagraph"/>
              <w:numPr>
                <w:ilvl w:val="0"/>
                <w:numId w:val="35"/>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sz w:val="20"/>
                <w:szCs w:val="20"/>
              </w:rPr>
              <w:t>Godišnje izvješće o emisijama stakleničkih plinova iz postrojenja koji su obveznici EU ETS-a;</w:t>
            </w:r>
          </w:p>
          <w:p w:rsidR="00251220" w:rsidRPr="00D60728" w:rsidRDefault="00251220" w:rsidP="00BF7DCC">
            <w:pPr>
              <w:pStyle w:val="ListParagraph"/>
              <w:numPr>
                <w:ilvl w:val="0"/>
                <w:numId w:val="35"/>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 xml:space="preserve">Izvješće o provedbi politika i mjera za smanjenje emisija stakleničkih plinova; </w:t>
            </w:r>
          </w:p>
          <w:p w:rsidR="00251220" w:rsidRPr="00D60728" w:rsidRDefault="00251220" w:rsidP="00BF7DCC">
            <w:pPr>
              <w:pStyle w:val="ListParagraph"/>
              <w:numPr>
                <w:ilvl w:val="0"/>
                <w:numId w:val="35"/>
              </w:numPr>
              <w:spacing w:line="240" w:lineRule="auto"/>
              <w:ind w:left="234" w:hanging="234"/>
              <w:contextualSpacing w:val="0"/>
              <w:jc w:val="left"/>
              <w:rPr>
                <w:rFonts w:ascii="Times New Roman" w:hAnsi="Times New Roman"/>
                <w:i/>
                <w:iCs/>
                <w:color w:val="A6A6A6" w:themeColor="background1" w:themeShade="A6"/>
                <w:sz w:val="20"/>
                <w:szCs w:val="20"/>
              </w:rPr>
            </w:pPr>
            <w:r w:rsidRPr="00D60728">
              <w:rPr>
                <w:rFonts w:ascii="Times New Roman" w:hAnsi="Times New Roman"/>
                <w:i/>
                <w:iCs/>
                <w:sz w:val="20"/>
                <w:szCs w:val="20"/>
              </w:rPr>
              <w:t>Petogodišnje izvješće o praćenju provedbe NUS.</w:t>
            </w:r>
          </w:p>
        </w:tc>
      </w:tr>
      <w:tr w:rsidR="00251220" w:rsidRPr="00D60728" w:rsidTr="00654F5A">
        <w:trPr>
          <w:trHeight w:val="454"/>
        </w:trPr>
        <w:tc>
          <w:tcPr>
            <w:tcW w:w="3764" w:type="dxa"/>
            <w:gridSpan w:val="2"/>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411" w:type="dxa"/>
            <w:gridSpan w:val="2"/>
            <w:vAlign w:val="center"/>
          </w:tcPr>
          <w:p w:rsidR="00251220" w:rsidRPr="00D60728" w:rsidRDefault="00251220" w:rsidP="00BF7DCC">
            <w:pPr>
              <w:spacing w:line="240" w:lineRule="auto"/>
              <w:rPr>
                <w:rFonts w:ascii="Times New Roman" w:hAnsi="Times New Roman"/>
                <w:i/>
                <w:iCs/>
                <w:color w:val="A6A6A6" w:themeColor="background1" w:themeShade="A6"/>
                <w:sz w:val="20"/>
                <w:szCs w:val="20"/>
              </w:rPr>
            </w:pPr>
            <w:r w:rsidRPr="00D60728">
              <w:rPr>
                <w:rFonts w:ascii="Times New Roman" w:hAnsi="Times New Roman"/>
                <w:i/>
                <w:iCs/>
                <w:color w:val="A6A6A6" w:themeColor="background1" w:themeShade="A6"/>
                <w:sz w:val="20"/>
                <w:szCs w:val="20"/>
              </w:rPr>
              <w:t>-</w:t>
            </w:r>
          </w:p>
        </w:tc>
      </w:tr>
    </w:tbl>
    <w:p w:rsidR="00251220" w:rsidRPr="00D60728" w:rsidRDefault="00251220" w:rsidP="00BF7DCC">
      <w:pPr>
        <w:spacing w:line="240" w:lineRule="auto"/>
        <w:rPr>
          <w:sz w:val="20"/>
          <w:szCs w:val="20"/>
        </w:rPr>
      </w:pPr>
    </w:p>
    <w:p w:rsidR="00251220" w:rsidRPr="00D60728" w:rsidRDefault="00251220" w:rsidP="00BF7DCC">
      <w:pPr>
        <w:spacing w:line="240" w:lineRule="auto"/>
        <w:rPr>
          <w:sz w:val="20"/>
          <w:szCs w:val="20"/>
        </w:rPr>
      </w:pPr>
    </w:p>
    <w:tbl>
      <w:tblPr>
        <w:tblStyle w:val="TableGrid"/>
        <w:tblW w:w="0" w:type="auto"/>
        <w:tblLook w:val="04A0" w:firstRow="1" w:lastRow="0" w:firstColumn="1" w:lastColumn="0" w:noHBand="0" w:noVBand="1"/>
      </w:tblPr>
      <w:tblGrid>
        <w:gridCol w:w="1884"/>
        <w:gridCol w:w="1801"/>
        <w:gridCol w:w="2744"/>
        <w:gridCol w:w="2518"/>
      </w:tblGrid>
      <w:tr w:rsidR="00251220" w:rsidRPr="00A4381B" w:rsidTr="00251220">
        <w:trPr>
          <w:trHeight w:val="454"/>
        </w:trPr>
        <w:tc>
          <w:tcPr>
            <w:tcW w:w="3685" w:type="dxa"/>
            <w:gridSpan w:val="2"/>
            <w:shd w:val="clear" w:color="auto" w:fill="D9D9D9" w:themeFill="background1" w:themeFillShade="D9"/>
            <w:vAlign w:val="center"/>
            <w:hideMark/>
          </w:tcPr>
          <w:p w:rsidR="00251220" w:rsidRPr="00A4381B" w:rsidRDefault="00251220" w:rsidP="00A4381B">
            <w:pPr>
              <w:spacing w:line="240" w:lineRule="auto"/>
              <w:ind w:right="57"/>
              <w:jc w:val="left"/>
              <w:rPr>
                <w:rFonts w:ascii="Times New Roman" w:hAnsi="Times New Roman"/>
                <w:b/>
                <w:iCs/>
              </w:rPr>
            </w:pPr>
            <w:r w:rsidRPr="00A4381B">
              <w:rPr>
                <w:rFonts w:ascii="Times New Roman" w:hAnsi="Times New Roman"/>
                <w:b/>
                <w:iCs/>
              </w:rPr>
              <w:t>Naziv mjere</w:t>
            </w:r>
          </w:p>
        </w:tc>
        <w:tc>
          <w:tcPr>
            <w:tcW w:w="5262" w:type="dxa"/>
            <w:gridSpan w:val="2"/>
            <w:shd w:val="clear" w:color="auto" w:fill="D9D9D9" w:themeFill="background1" w:themeFillShade="D9"/>
            <w:vAlign w:val="center"/>
            <w:hideMark/>
          </w:tcPr>
          <w:p w:rsidR="00251220" w:rsidRPr="00A4381B" w:rsidRDefault="00251220" w:rsidP="00A4381B">
            <w:pPr>
              <w:spacing w:line="240" w:lineRule="auto"/>
              <w:ind w:right="57"/>
              <w:jc w:val="left"/>
              <w:rPr>
                <w:rFonts w:ascii="Times New Roman" w:hAnsi="Times New Roman"/>
                <w:b/>
                <w:i/>
              </w:rPr>
            </w:pPr>
            <w:r w:rsidRPr="00A4381B">
              <w:rPr>
                <w:rFonts w:ascii="Times New Roman" w:hAnsi="Times New Roman"/>
                <w:b/>
                <w:i/>
              </w:rPr>
              <w:t>Ograničavanje emisija flouriranih stakleničkih plinova</w:t>
            </w:r>
          </w:p>
          <w:p w:rsidR="00251220" w:rsidRPr="00A4381B" w:rsidRDefault="00251220" w:rsidP="00A4381B">
            <w:pPr>
              <w:spacing w:line="240" w:lineRule="auto"/>
              <w:ind w:right="57"/>
              <w:jc w:val="left"/>
              <w:rPr>
                <w:rFonts w:ascii="Times New Roman" w:hAnsi="Times New Roman"/>
                <w:b/>
                <w:i/>
                <w:iCs/>
              </w:rPr>
            </w:pPr>
            <w:r w:rsidRPr="00A4381B">
              <w:rPr>
                <w:rFonts w:ascii="Times New Roman" w:hAnsi="Times New Roman"/>
                <w:b/>
                <w:i/>
                <w:iCs/>
              </w:rPr>
              <w:t>Postupno smanjenje količine fluorougljikovodika koje se mogu stavljati na tržište</w:t>
            </w:r>
          </w:p>
          <w:p w:rsidR="00251220" w:rsidRPr="00A4381B" w:rsidRDefault="00251220" w:rsidP="00A4381B">
            <w:pPr>
              <w:spacing w:line="240" w:lineRule="auto"/>
              <w:ind w:right="57"/>
              <w:jc w:val="left"/>
              <w:rPr>
                <w:rFonts w:ascii="Times New Roman" w:hAnsi="Times New Roman"/>
                <w:b/>
                <w:i/>
                <w:iCs/>
              </w:rPr>
            </w:pPr>
            <w:r w:rsidRPr="00A4381B">
              <w:rPr>
                <w:rFonts w:ascii="Times New Roman" w:hAnsi="Times New Roman"/>
                <w:b/>
                <w:i/>
                <w:iCs/>
              </w:rPr>
              <w:t>Ograničenja i zabrana stavljanja na tržište određenih proizvoda i opreme</w:t>
            </w:r>
          </w:p>
        </w:tc>
      </w:tr>
      <w:tr w:rsidR="00251220" w:rsidRPr="00D60728" w:rsidTr="00251220">
        <w:trPr>
          <w:trHeight w:val="454"/>
        </w:trPr>
        <w:tc>
          <w:tcPr>
            <w:tcW w:w="3685" w:type="dxa"/>
            <w:gridSpan w:val="2"/>
            <w:vAlign w:val="center"/>
            <w:hideMark/>
          </w:tcPr>
          <w:p w:rsidR="00251220" w:rsidRPr="00D60728" w:rsidRDefault="00251220"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262"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MIP-2, MIP-3, MIP-4</w:t>
            </w:r>
          </w:p>
        </w:tc>
      </w:tr>
      <w:tr w:rsidR="00251220" w:rsidRPr="00D60728" w:rsidTr="00251220">
        <w:trPr>
          <w:trHeight w:val="454"/>
        </w:trPr>
        <w:tc>
          <w:tcPr>
            <w:tcW w:w="1884"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262"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Regulatorne, okolišne, ekonomske, obrazovne</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262"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Merge/>
            <w:vAlign w:val="center"/>
            <w:hideMark/>
          </w:tcPr>
          <w:p w:rsidR="00251220" w:rsidRPr="00D60728" w:rsidRDefault="00251220" w:rsidP="00BF7DCC">
            <w:pPr>
              <w:spacing w:line="240" w:lineRule="auto"/>
              <w:rPr>
                <w:rFonts w:ascii="Times New Roman" w:hAnsi="Times New Roman"/>
                <w:sz w:val="20"/>
                <w:szCs w:val="20"/>
              </w:rPr>
            </w:pPr>
          </w:p>
        </w:tc>
        <w:tc>
          <w:tcPr>
            <w:tcW w:w="5262"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262" w:type="dxa"/>
            <w:gridSpan w:val="2"/>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emisija fluoriranih stakleničkih plinova.</w:t>
            </w:r>
          </w:p>
        </w:tc>
      </w:tr>
      <w:tr w:rsidR="00251220" w:rsidRPr="00D60728" w:rsidTr="00251220">
        <w:trPr>
          <w:trHeight w:val="454"/>
        </w:trPr>
        <w:tc>
          <w:tcPr>
            <w:tcW w:w="1884" w:type="dxa"/>
            <w:vMerge/>
            <w:vAlign w:val="center"/>
          </w:tcPr>
          <w:p w:rsidR="00251220" w:rsidRPr="00D60728" w:rsidRDefault="00251220" w:rsidP="00BF7DCC">
            <w:pPr>
              <w:spacing w:line="240" w:lineRule="auto"/>
              <w:rPr>
                <w:rFonts w:ascii="Times New Roman" w:hAnsi="Times New Roman"/>
                <w:sz w:val="20"/>
                <w:szCs w:val="20"/>
              </w:rPr>
            </w:pPr>
          </w:p>
        </w:tc>
        <w:tc>
          <w:tcPr>
            <w:tcW w:w="1801" w:type="dxa"/>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262" w:type="dxa"/>
            <w:gridSpan w:val="2"/>
            <w:vAlign w:val="center"/>
          </w:tcPr>
          <w:p w:rsidR="00251220" w:rsidRPr="00D60728" w:rsidRDefault="00251220" w:rsidP="00BF7DCC">
            <w:pPr>
              <w:spacing w:line="240" w:lineRule="auto"/>
              <w:jc w:val="left"/>
              <w:rPr>
                <w:rFonts w:ascii="Times New Roman" w:eastAsia="MS Mincho" w:hAnsi="Times New Roman"/>
                <w:i/>
                <w:sz w:val="20"/>
                <w:szCs w:val="20"/>
              </w:rPr>
            </w:pPr>
            <w:r w:rsidRPr="00D60728">
              <w:rPr>
                <w:rFonts w:ascii="Times New Roman" w:eastAsia="MS Mincho" w:hAnsi="Times New Roman"/>
                <w:i/>
                <w:sz w:val="20"/>
                <w:szCs w:val="20"/>
              </w:rPr>
              <w:t>Provedba Uredbe (EU) br. 517/2014 u Republici Hrvatskoj regulirana je Zakonom o provedbi Uredbe (EU) br. 517/2014 Europskog parlamenta i Vijeća od 16. travnja 2014. o fluoriranim stakleničkim plinovima i stavljanju izvan snage Uredbe (EZ) br. 842/2006 (NN 61/17, 118/18), koji je na snazi od 01.01.2019. godine.</w:t>
            </w:r>
          </w:p>
          <w:p w:rsidR="00251220" w:rsidRPr="00D60728" w:rsidRDefault="00251220" w:rsidP="00BF7DCC">
            <w:pPr>
              <w:spacing w:line="240" w:lineRule="auto"/>
              <w:jc w:val="left"/>
              <w:rPr>
                <w:rFonts w:ascii="Times New Roman" w:eastAsia="MS Mincho" w:hAnsi="Times New Roman"/>
                <w:i/>
                <w:sz w:val="20"/>
                <w:szCs w:val="20"/>
              </w:rPr>
            </w:pPr>
            <w:r w:rsidRPr="00D60728">
              <w:rPr>
                <w:rFonts w:ascii="Times New Roman" w:eastAsia="MS Mincho" w:hAnsi="Times New Roman"/>
                <w:i/>
                <w:sz w:val="20"/>
                <w:szCs w:val="20"/>
              </w:rPr>
              <w:t>Potrebno je promatrati zajednički učinak ove skupine mjera, budući se navedene mjere međusobno nadopunjuju.</w:t>
            </w:r>
          </w:p>
          <w:p w:rsidR="00251220" w:rsidRPr="00D60728" w:rsidRDefault="00251220" w:rsidP="00BF7DCC">
            <w:pPr>
              <w:spacing w:line="240" w:lineRule="auto"/>
              <w:jc w:val="left"/>
              <w:rPr>
                <w:rFonts w:ascii="Times New Roman" w:eastAsia="MS Mincho" w:hAnsi="Times New Roman"/>
                <w:i/>
                <w:sz w:val="20"/>
                <w:szCs w:val="20"/>
              </w:rPr>
            </w:pPr>
          </w:p>
          <w:p w:rsidR="00251220" w:rsidRPr="00D60728" w:rsidRDefault="00251220" w:rsidP="00BF7DCC">
            <w:pPr>
              <w:spacing w:line="240" w:lineRule="auto"/>
              <w:jc w:val="left"/>
              <w:rPr>
                <w:rFonts w:ascii="Times New Roman" w:hAnsi="Times New Roman"/>
                <w:b/>
                <w:i/>
                <w:sz w:val="20"/>
                <w:szCs w:val="20"/>
              </w:rPr>
            </w:pPr>
            <w:r w:rsidRPr="00D60728">
              <w:rPr>
                <w:rFonts w:ascii="Times New Roman" w:hAnsi="Times New Roman"/>
                <w:b/>
                <w:i/>
                <w:sz w:val="20"/>
                <w:szCs w:val="20"/>
              </w:rPr>
              <w:t>MIP-2 Ograničavanje emisija flouriranih stakleničkih plinova</w:t>
            </w:r>
          </w:p>
          <w:p w:rsidR="00251220" w:rsidRPr="00D60728" w:rsidRDefault="00251220" w:rsidP="00BF7DCC">
            <w:pPr>
              <w:spacing w:line="240" w:lineRule="auto"/>
              <w:jc w:val="left"/>
              <w:rPr>
                <w:rFonts w:ascii="Times New Roman" w:hAnsi="Times New Roman"/>
                <w:i/>
                <w:sz w:val="20"/>
                <w:szCs w:val="20"/>
              </w:rPr>
            </w:pPr>
            <w:r w:rsidRPr="00D60728">
              <w:rPr>
                <w:rFonts w:ascii="Times New Roman" w:hAnsi="Times New Roman"/>
                <w:i/>
                <w:sz w:val="20"/>
                <w:szCs w:val="20"/>
              </w:rPr>
              <w:t xml:space="preserve">Mjerom su definirane aktivnosti i postupci za sprječavanje emisija fluoriranih stakleničkih plinova, provođenje provjere </w:t>
            </w:r>
            <w:r w:rsidRPr="00D60728">
              <w:rPr>
                <w:rFonts w:ascii="Times New Roman" w:hAnsi="Times New Roman"/>
                <w:i/>
                <w:sz w:val="20"/>
                <w:szCs w:val="20"/>
              </w:rPr>
              <w:lastRenderedPageBreak/>
              <w:t>propuštanja opreme, korištenje opreme sa sustavima za otkrivanje propuštanja, vođenje evidencije o opremi na kojoj je potrebno obavljati provjere propuštanja, prikupljanje fluoriranih stakleničkih plinova kako bi se osiguralo njihovo obnavljanje, oporaba ili uništavanje, razvoj sustava odgovornosti proizvođača za prikupljanje fluoriranih stakleničkih plinova i njihovo obnavljanje, oporabu ili uništavanje te primjena programa za osposobljavanje i certifikaciju.</w:t>
            </w:r>
          </w:p>
          <w:p w:rsidR="00251220" w:rsidRPr="00D60728" w:rsidRDefault="00251220" w:rsidP="00BF7DCC">
            <w:pPr>
              <w:spacing w:line="240" w:lineRule="auto"/>
              <w:jc w:val="left"/>
              <w:rPr>
                <w:rFonts w:ascii="Times New Roman" w:hAnsi="Times New Roman"/>
                <w:i/>
                <w:sz w:val="20"/>
                <w:szCs w:val="20"/>
              </w:rPr>
            </w:pPr>
          </w:p>
          <w:p w:rsidR="00251220" w:rsidRPr="00D60728" w:rsidRDefault="00251220" w:rsidP="00BF7DCC">
            <w:pPr>
              <w:spacing w:line="240" w:lineRule="auto"/>
              <w:jc w:val="left"/>
              <w:rPr>
                <w:rFonts w:ascii="Times New Roman" w:hAnsi="Times New Roman"/>
                <w:b/>
                <w:i/>
                <w:sz w:val="20"/>
                <w:szCs w:val="20"/>
              </w:rPr>
            </w:pPr>
            <w:r w:rsidRPr="00D60728">
              <w:rPr>
                <w:rFonts w:ascii="Times New Roman" w:hAnsi="Times New Roman"/>
                <w:b/>
                <w:i/>
                <w:sz w:val="20"/>
                <w:szCs w:val="20"/>
              </w:rPr>
              <w:t>MIP-3</w:t>
            </w:r>
            <w:r w:rsidRPr="00D60728">
              <w:rPr>
                <w:rFonts w:ascii="Times New Roman" w:hAnsi="Times New Roman"/>
                <w:b/>
                <w:sz w:val="20"/>
                <w:szCs w:val="20"/>
              </w:rPr>
              <w:t xml:space="preserve"> </w:t>
            </w:r>
            <w:r w:rsidRPr="00D60728">
              <w:rPr>
                <w:rFonts w:ascii="Times New Roman" w:hAnsi="Times New Roman"/>
                <w:b/>
                <w:i/>
                <w:sz w:val="20"/>
                <w:szCs w:val="20"/>
              </w:rPr>
              <w:t>Postupno smanjenje količine fluorougljikovodika koje se mogu stavljati na tržište</w:t>
            </w:r>
          </w:p>
          <w:p w:rsidR="00251220" w:rsidRPr="00D60728" w:rsidRDefault="00251220" w:rsidP="00BF7DCC">
            <w:pPr>
              <w:spacing w:line="240" w:lineRule="auto"/>
              <w:jc w:val="left"/>
              <w:rPr>
                <w:rFonts w:ascii="Times New Roman" w:hAnsi="Times New Roman"/>
                <w:i/>
                <w:sz w:val="20"/>
                <w:szCs w:val="20"/>
              </w:rPr>
            </w:pPr>
            <w:r w:rsidRPr="00D60728">
              <w:rPr>
                <w:rFonts w:ascii="Times New Roman" w:hAnsi="Times New Roman"/>
                <w:i/>
                <w:sz w:val="20"/>
                <w:szCs w:val="20"/>
              </w:rPr>
              <w:t>Mjera se odnosi na postupno ograničavanje količine fluorougljikovodika dostupnih na tržištu EU do 2030. godine na 21% od ukupne količine fluorougljikovodika koji su stavljeni na tržište tijekom referentnog razdoblja od 2009. do 2012. godine., kako je utvrđeno Uredbom (EU) br. 517/2014.</w:t>
            </w:r>
          </w:p>
          <w:p w:rsidR="00251220" w:rsidRPr="00D60728" w:rsidRDefault="00251220" w:rsidP="00BF7DCC">
            <w:pPr>
              <w:spacing w:line="240" w:lineRule="auto"/>
              <w:jc w:val="left"/>
              <w:rPr>
                <w:rFonts w:ascii="Times New Roman" w:hAnsi="Times New Roman"/>
                <w:i/>
                <w:sz w:val="20"/>
                <w:szCs w:val="20"/>
              </w:rPr>
            </w:pPr>
            <w:r w:rsidRPr="00D60728">
              <w:rPr>
                <w:rFonts w:ascii="Times New Roman" w:hAnsi="Times New Roman"/>
                <w:i/>
                <w:sz w:val="20"/>
                <w:szCs w:val="20"/>
              </w:rPr>
              <w:t>Uredbom (EU) br. 517/2014 uvodi se sustav kvota za stavljanje fluorougljikovodika na tržište. Izračun referentnih vrijednosti i raspodjelu kvota potrebno je temeljiti na prijavljenim količinama fluorougljikovodika koji su stavljeni na tržište tijekom referentnog razdoblja od 2009. do 2012. godine. Kvote za stavljanje fluorougljikovodika na tržište dodjeljuju se za svakog proizvođača i uvoznika za svaku godinu, s početkom od 2015. godine, na temelju referentnih vrijednosti, primjenjujući definirane postotke za izračun maksimalne količine fluorougljikovodika za stavljanje na tržište te mehanizam dodjele.</w:t>
            </w:r>
          </w:p>
          <w:p w:rsidR="00251220" w:rsidRPr="00D60728" w:rsidRDefault="00251220" w:rsidP="00BF7DCC">
            <w:pPr>
              <w:spacing w:line="240" w:lineRule="auto"/>
              <w:jc w:val="left"/>
              <w:rPr>
                <w:rFonts w:ascii="Times New Roman" w:hAnsi="Times New Roman"/>
                <w:i/>
                <w:sz w:val="20"/>
                <w:szCs w:val="20"/>
              </w:rPr>
            </w:pPr>
          </w:p>
          <w:p w:rsidR="00251220" w:rsidRPr="00D60728" w:rsidRDefault="00251220" w:rsidP="00BF7DCC">
            <w:pPr>
              <w:spacing w:line="240" w:lineRule="auto"/>
              <w:jc w:val="left"/>
              <w:rPr>
                <w:rFonts w:ascii="Times New Roman" w:hAnsi="Times New Roman"/>
                <w:b/>
                <w:i/>
                <w:sz w:val="20"/>
                <w:szCs w:val="20"/>
              </w:rPr>
            </w:pPr>
            <w:r w:rsidRPr="00D60728">
              <w:rPr>
                <w:rFonts w:ascii="Times New Roman" w:hAnsi="Times New Roman"/>
                <w:b/>
                <w:i/>
                <w:sz w:val="20"/>
                <w:szCs w:val="20"/>
              </w:rPr>
              <w:t>MIP-4</w:t>
            </w:r>
            <w:r w:rsidRPr="00D60728">
              <w:rPr>
                <w:rFonts w:ascii="Times New Roman" w:hAnsi="Times New Roman"/>
                <w:b/>
                <w:sz w:val="20"/>
                <w:szCs w:val="20"/>
              </w:rPr>
              <w:t xml:space="preserve"> </w:t>
            </w:r>
            <w:r w:rsidRPr="00D60728">
              <w:rPr>
                <w:rFonts w:ascii="Times New Roman" w:hAnsi="Times New Roman"/>
                <w:b/>
                <w:i/>
                <w:sz w:val="20"/>
                <w:szCs w:val="20"/>
              </w:rPr>
              <w:t>Ograničenja i zabrana stavljanja na tržište određenih proizvoda i opreme</w:t>
            </w:r>
          </w:p>
          <w:p w:rsidR="00251220" w:rsidRPr="00D60728" w:rsidRDefault="00251220" w:rsidP="00BF7DCC">
            <w:pPr>
              <w:spacing w:line="240" w:lineRule="auto"/>
              <w:jc w:val="left"/>
              <w:rPr>
                <w:rFonts w:ascii="Times New Roman" w:hAnsi="Times New Roman"/>
                <w:i/>
                <w:sz w:val="20"/>
                <w:szCs w:val="20"/>
              </w:rPr>
            </w:pPr>
            <w:r w:rsidRPr="00D60728">
              <w:rPr>
                <w:rFonts w:ascii="Times New Roman" w:hAnsi="Times New Roman"/>
                <w:i/>
                <w:sz w:val="20"/>
                <w:szCs w:val="20"/>
              </w:rPr>
              <w:t>Mjera se odnosi na ograničenja i zabranu stavljanja na tržište određenih proizvoda i opreme koji sadrže fluorirane stakleničke plinove, kako je utvrđeno Uredbom (EU) br. 517/2014.</w:t>
            </w:r>
          </w:p>
          <w:p w:rsidR="00251220" w:rsidRPr="00D60728" w:rsidRDefault="00251220" w:rsidP="00BF7DCC">
            <w:pPr>
              <w:spacing w:line="240" w:lineRule="auto"/>
              <w:jc w:val="left"/>
              <w:rPr>
                <w:rFonts w:ascii="Times New Roman" w:hAnsi="Times New Roman"/>
                <w:i/>
                <w:sz w:val="20"/>
                <w:szCs w:val="20"/>
              </w:rPr>
            </w:pPr>
            <w:r w:rsidRPr="00D60728">
              <w:rPr>
                <w:rFonts w:ascii="Times New Roman" w:hAnsi="Times New Roman"/>
                <w:i/>
                <w:sz w:val="20"/>
                <w:szCs w:val="20"/>
              </w:rPr>
              <w:t>Fluorirani staklenički plinovi s visokim stakleničkim potencijalom ograničeni su za upotrebu u novoj opremi za hlađenje i klimatizaciju, sustavima za gašenje požara, dodacima za potiskivanje pjena i aerosolima.</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262" w:type="dxa"/>
            <w:gridSpan w:val="2"/>
            <w:vAlign w:val="center"/>
            <w:hideMark/>
          </w:tcPr>
          <w:p w:rsidR="00251220" w:rsidRPr="00D60728" w:rsidRDefault="00251220" w:rsidP="00BF7DCC">
            <w:pPr>
              <w:pStyle w:val="ListParagraph"/>
              <w:numPr>
                <w:ilvl w:val="0"/>
                <w:numId w:val="36"/>
              </w:numPr>
              <w:autoSpaceDE w:val="0"/>
              <w:autoSpaceDN w:val="0"/>
              <w:adjustRightInd w:val="0"/>
              <w:spacing w:line="240" w:lineRule="auto"/>
              <w:ind w:left="234" w:hanging="234"/>
              <w:jc w:val="left"/>
              <w:rPr>
                <w:rFonts w:ascii="Times New Roman" w:hAnsi="Times New Roman"/>
                <w:i/>
                <w:sz w:val="20"/>
                <w:szCs w:val="20"/>
              </w:rPr>
            </w:pPr>
            <w:r w:rsidRPr="00D60728">
              <w:rPr>
                <w:rFonts w:ascii="Times New Roman" w:hAnsi="Times New Roman"/>
                <w:i/>
                <w:sz w:val="20"/>
                <w:szCs w:val="20"/>
              </w:rPr>
              <w:t>Ovlašteni serviseri za obavljanje djelatnosti prikupljanja, provjere propuštanja, ugradnje i servisiranja rashladnih i klimatizacijskih uređaja i opreme te dizalica topline i nepokretnih protupožarnih sustava i aparata za gašenje požara koji sadržavaju fluorirane stakleničke plinove ili o njima ovise;</w:t>
            </w:r>
          </w:p>
          <w:p w:rsidR="00251220" w:rsidRPr="00D60728" w:rsidRDefault="00251220" w:rsidP="00BF7DCC">
            <w:pPr>
              <w:pStyle w:val="ListParagraph"/>
              <w:numPr>
                <w:ilvl w:val="0"/>
                <w:numId w:val="36"/>
              </w:numPr>
              <w:autoSpaceDE w:val="0"/>
              <w:autoSpaceDN w:val="0"/>
              <w:adjustRightInd w:val="0"/>
              <w:spacing w:line="240" w:lineRule="auto"/>
              <w:ind w:left="234" w:hanging="234"/>
              <w:jc w:val="left"/>
              <w:rPr>
                <w:rFonts w:ascii="Times New Roman" w:hAnsi="Times New Roman"/>
                <w:i/>
                <w:sz w:val="20"/>
                <w:szCs w:val="20"/>
              </w:rPr>
            </w:pPr>
            <w:r w:rsidRPr="00D60728">
              <w:rPr>
                <w:rFonts w:ascii="Times New Roman" w:hAnsi="Times New Roman"/>
                <w:i/>
                <w:sz w:val="20"/>
                <w:szCs w:val="20"/>
              </w:rPr>
              <w:t>Centri za obavljanje djelatnosti prikupljanja, obnavljanja i oporabe fluoriranih stakleničkih plinova;</w:t>
            </w:r>
          </w:p>
          <w:p w:rsidR="00251220" w:rsidRPr="00D60728" w:rsidRDefault="00251220" w:rsidP="00BF7DCC">
            <w:pPr>
              <w:pStyle w:val="ListParagraph"/>
              <w:numPr>
                <w:ilvl w:val="0"/>
                <w:numId w:val="36"/>
              </w:numPr>
              <w:autoSpaceDE w:val="0"/>
              <w:autoSpaceDN w:val="0"/>
              <w:adjustRightInd w:val="0"/>
              <w:spacing w:line="240" w:lineRule="auto"/>
              <w:ind w:left="234" w:hanging="234"/>
              <w:jc w:val="left"/>
              <w:rPr>
                <w:rFonts w:ascii="Times New Roman" w:hAnsi="Times New Roman"/>
                <w:i/>
                <w:sz w:val="20"/>
                <w:szCs w:val="20"/>
              </w:rPr>
            </w:pPr>
            <w:r w:rsidRPr="00D60728">
              <w:rPr>
                <w:rFonts w:ascii="Times New Roman" w:hAnsi="Times New Roman"/>
                <w:i/>
                <w:sz w:val="20"/>
                <w:szCs w:val="20"/>
              </w:rPr>
              <w:t>Uvoznici fluoriranih stakleničkih plinova te proizvoda i opreme koji te tvari sadržavaju ili o njima ovise.</w:t>
            </w:r>
          </w:p>
        </w:tc>
      </w:tr>
      <w:tr w:rsidR="00251220" w:rsidRPr="00D60728" w:rsidTr="00251220">
        <w:trPr>
          <w:trHeight w:val="454"/>
        </w:trPr>
        <w:tc>
          <w:tcPr>
            <w:tcW w:w="1884"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262" w:type="dxa"/>
            <w:gridSpan w:val="2"/>
            <w:vAlign w:val="center"/>
          </w:tcPr>
          <w:p w:rsidR="00251220" w:rsidRPr="00D60728" w:rsidRDefault="00251220" w:rsidP="00BF7DCC">
            <w:pPr>
              <w:pStyle w:val="ListParagraph"/>
              <w:numPr>
                <w:ilvl w:val="0"/>
                <w:numId w:val="3"/>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Ispravno rukovanje opremom i uređajima u kojima se koriste fluorirani staklenički plinovi;</w:t>
            </w:r>
          </w:p>
          <w:p w:rsidR="00251220" w:rsidRPr="00D60728" w:rsidRDefault="00251220" w:rsidP="00BF7DCC">
            <w:pPr>
              <w:pStyle w:val="ListParagraph"/>
              <w:numPr>
                <w:ilvl w:val="0"/>
                <w:numId w:val="3"/>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Sprječavanje ili otklanjanje propuštanja fluoriranih stakleničkih plinova u atmosferu;</w:t>
            </w:r>
          </w:p>
          <w:p w:rsidR="00251220" w:rsidRPr="00D60728" w:rsidRDefault="00251220" w:rsidP="00BF7DCC">
            <w:pPr>
              <w:pStyle w:val="ListParagraph"/>
              <w:numPr>
                <w:ilvl w:val="0"/>
                <w:numId w:val="3"/>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Prikupljanje, obnavljanje i oporaba fluoriranih stakleničkih plinova;</w:t>
            </w:r>
          </w:p>
          <w:p w:rsidR="00251220" w:rsidRPr="00D60728" w:rsidRDefault="00251220" w:rsidP="00BF7DCC">
            <w:pPr>
              <w:pStyle w:val="ListParagraph"/>
              <w:numPr>
                <w:ilvl w:val="0"/>
                <w:numId w:val="3"/>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Ograničavanje količine fluorougljikovodika dostupnih na tržištu;</w:t>
            </w:r>
          </w:p>
          <w:p w:rsidR="00251220" w:rsidRPr="00D60728" w:rsidRDefault="00251220" w:rsidP="00BF7DCC">
            <w:pPr>
              <w:pStyle w:val="ListParagraph"/>
              <w:numPr>
                <w:ilvl w:val="0"/>
                <w:numId w:val="3"/>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lastRenderedPageBreak/>
              <w:t>Ograničenja upotrebe fluoriranih stakleničkih plinova s visokim stakleničkim potencijalom u novoj opremi za hlađenje i klimatizaciju, sustavima za gašenje požara, dodacima za potiskivanje pjena i aerosolima.</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262" w:type="dxa"/>
            <w:gridSpan w:val="2"/>
            <w:vAlign w:val="center"/>
          </w:tcPr>
          <w:p w:rsidR="00251220" w:rsidRPr="00D60728" w:rsidRDefault="00251220" w:rsidP="00BF7DCC">
            <w:pPr>
              <w:pStyle w:val="ListParagraph"/>
              <w:numPr>
                <w:ilvl w:val="0"/>
                <w:numId w:val="3"/>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Ministarstvo zaštite okoliša i energetike;</w:t>
            </w:r>
          </w:p>
          <w:p w:rsidR="00251220" w:rsidRPr="00D60728" w:rsidRDefault="00251220" w:rsidP="00BF7DCC">
            <w:pPr>
              <w:pStyle w:val="ListParagraph"/>
              <w:numPr>
                <w:ilvl w:val="0"/>
                <w:numId w:val="3"/>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Ministarstvo financija, Carinska uprava.</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262" w:type="dxa"/>
            <w:gridSpan w:val="2"/>
            <w:vAlign w:val="center"/>
          </w:tcPr>
          <w:p w:rsidR="00251220" w:rsidRPr="00D60728" w:rsidRDefault="00251220" w:rsidP="00BF7DCC">
            <w:pPr>
              <w:pStyle w:val="ListParagraph"/>
              <w:numPr>
                <w:ilvl w:val="0"/>
                <w:numId w:val="33"/>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Središnja tijela državne uprave nadležna za poslove gospodarstva, poduzetništva, obrane, unutarnjih poslova, prometa, zdravstva;</w:t>
            </w:r>
          </w:p>
          <w:p w:rsidR="00251220" w:rsidRPr="00D60728" w:rsidRDefault="00251220" w:rsidP="00BF7DCC">
            <w:pPr>
              <w:pStyle w:val="ListParagraph"/>
              <w:numPr>
                <w:ilvl w:val="0"/>
                <w:numId w:val="33"/>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Fond za zaštitu okoliša i energetsku učinkovitost.</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262" w:type="dxa"/>
            <w:gridSpan w:val="2"/>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sredstva: 1.500.000 EUR</w:t>
            </w:r>
          </w:p>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sz w:val="20"/>
                <w:szCs w:val="20"/>
              </w:rPr>
              <w:t>Izvori financiranja: korištenje sredstava Fonda za zaštitu okoliša i energetsku učinkovitost, Fonda za modernizaciju te strukturnih fondova EU.</w:t>
            </w:r>
          </w:p>
        </w:tc>
      </w:tr>
      <w:tr w:rsidR="00251220" w:rsidRPr="00D60728" w:rsidTr="00251220">
        <w:trPr>
          <w:trHeight w:val="454"/>
        </w:trPr>
        <w:tc>
          <w:tcPr>
            <w:tcW w:w="1884"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01" w:type="dxa"/>
            <w:vMerge w:val="restart"/>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44" w:type="dxa"/>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-eq)</w:t>
            </w:r>
          </w:p>
        </w:tc>
        <w:tc>
          <w:tcPr>
            <w:tcW w:w="2518" w:type="dxa"/>
            <w:vAlign w:val="center"/>
          </w:tcPr>
          <w:p w:rsidR="00251220" w:rsidRPr="00D60728" w:rsidRDefault="00251220"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Smanjenje emisije 3 kt CO</w:t>
            </w:r>
            <w:r w:rsidRPr="00D60728">
              <w:rPr>
                <w:rFonts w:ascii="Times New Roman" w:hAnsi="Times New Roman"/>
                <w:i/>
                <w:iCs/>
                <w:sz w:val="20"/>
                <w:szCs w:val="20"/>
                <w:vertAlign w:val="subscript"/>
              </w:rPr>
              <w:t>2</w:t>
            </w:r>
            <w:r w:rsidRPr="00D60728">
              <w:rPr>
                <w:rFonts w:ascii="Times New Roman" w:hAnsi="Times New Roman"/>
                <w:i/>
                <w:iCs/>
                <w:sz w:val="20"/>
                <w:szCs w:val="20"/>
              </w:rPr>
              <w:t>-eq u odnosu na referentni scenarij (2025. godina).</w:t>
            </w:r>
          </w:p>
          <w:p w:rsidR="00251220" w:rsidRPr="00D60728" w:rsidRDefault="00251220" w:rsidP="00BF7DCC">
            <w:pPr>
              <w:spacing w:line="240" w:lineRule="auto"/>
              <w:jc w:val="left"/>
              <w:rPr>
                <w:rFonts w:ascii="Times New Roman" w:hAnsi="Times New Roman"/>
                <w:i/>
                <w:iCs/>
                <w:sz w:val="20"/>
                <w:szCs w:val="20"/>
                <w:highlight w:val="cyan"/>
              </w:rPr>
            </w:pPr>
            <w:r w:rsidRPr="00D60728">
              <w:rPr>
                <w:rFonts w:ascii="Times New Roman" w:hAnsi="Times New Roman"/>
                <w:i/>
                <w:iCs/>
                <w:sz w:val="20"/>
                <w:szCs w:val="20"/>
              </w:rPr>
              <w:t>Intenzivnije smanjenje emisije nakon 2030. godine.</w:t>
            </w:r>
          </w:p>
        </w:tc>
      </w:tr>
      <w:tr w:rsidR="00251220" w:rsidRPr="00D60728" w:rsidTr="00251220">
        <w:trPr>
          <w:trHeight w:val="454"/>
        </w:trPr>
        <w:tc>
          <w:tcPr>
            <w:tcW w:w="1884" w:type="dxa"/>
            <w:vMerge/>
            <w:vAlign w:val="center"/>
          </w:tcPr>
          <w:p w:rsidR="00251220" w:rsidRPr="00D60728" w:rsidRDefault="00251220" w:rsidP="00BF7DCC">
            <w:pPr>
              <w:spacing w:line="240" w:lineRule="auto"/>
              <w:rPr>
                <w:rFonts w:ascii="Times New Roman" w:hAnsi="Times New Roman"/>
                <w:sz w:val="20"/>
                <w:szCs w:val="20"/>
              </w:rPr>
            </w:pPr>
          </w:p>
        </w:tc>
        <w:tc>
          <w:tcPr>
            <w:tcW w:w="1801" w:type="dxa"/>
            <w:vMerge/>
            <w:vAlign w:val="center"/>
          </w:tcPr>
          <w:p w:rsidR="00251220" w:rsidRPr="00D60728" w:rsidRDefault="00251220" w:rsidP="00BF7DCC">
            <w:pPr>
              <w:spacing w:line="240" w:lineRule="auto"/>
              <w:rPr>
                <w:rFonts w:ascii="Times New Roman" w:hAnsi="Times New Roman"/>
                <w:sz w:val="20"/>
                <w:szCs w:val="20"/>
              </w:rPr>
            </w:pPr>
          </w:p>
        </w:tc>
        <w:tc>
          <w:tcPr>
            <w:tcW w:w="5262" w:type="dxa"/>
            <w:gridSpan w:val="2"/>
            <w:vAlign w:val="center"/>
          </w:tcPr>
          <w:p w:rsidR="00251220" w:rsidRPr="00D60728" w:rsidRDefault="00251220" w:rsidP="00BF7DCC">
            <w:pPr>
              <w:pStyle w:val="ListParagraph"/>
              <w:numPr>
                <w:ilvl w:val="0"/>
                <w:numId w:val="34"/>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Ispravno prikupljanje i rukovanje fluoriranim stakleničkim plinovima tijekom servisiranja uređaja i opreme;</w:t>
            </w:r>
          </w:p>
          <w:p w:rsidR="00251220" w:rsidRPr="00D60728" w:rsidRDefault="00251220" w:rsidP="00BF7DCC">
            <w:pPr>
              <w:pStyle w:val="ListParagraph"/>
              <w:numPr>
                <w:ilvl w:val="0"/>
                <w:numId w:val="34"/>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Sprječavanje ili otklanjanje propuštanja fluoriranih stakleničkih plinova u atmosferu;</w:t>
            </w:r>
          </w:p>
          <w:p w:rsidR="00251220" w:rsidRPr="00D60728" w:rsidRDefault="00251220" w:rsidP="00BF7DCC">
            <w:pPr>
              <w:pStyle w:val="ListParagraph"/>
              <w:numPr>
                <w:ilvl w:val="0"/>
                <w:numId w:val="34"/>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Razvoj sustava odgovornosti proizvođača za prikupljanje fluoriranih stakleničkih plinova i njihovo obnavljanje, oporabu ili uništavanje;</w:t>
            </w:r>
          </w:p>
          <w:p w:rsidR="00251220" w:rsidRPr="00D60728" w:rsidRDefault="00251220" w:rsidP="00BF7DCC">
            <w:pPr>
              <w:pStyle w:val="ListParagraph"/>
              <w:numPr>
                <w:ilvl w:val="0"/>
                <w:numId w:val="34"/>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Primjena programa za osposobljavanje i certifikaciju</w:t>
            </w:r>
            <w:r w:rsidRPr="00D60728">
              <w:rPr>
                <w:rFonts w:ascii="Times New Roman" w:hAnsi="Times New Roman"/>
                <w:i/>
                <w:sz w:val="20"/>
                <w:szCs w:val="20"/>
                <w:lang w:eastAsia="en-US"/>
              </w:rPr>
              <w:t xml:space="preserve"> osoba koje obavljaju djelatnost prikupljanja, provjere propuštanja, ugradnje i servisiranja opreme i uređaja koji sadržavaju fluorirane stakleničke plinove ili o njima ovise</w:t>
            </w:r>
            <w:r w:rsidRPr="00D60728">
              <w:rPr>
                <w:rFonts w:ascii="Times New Roman" w:hAnsi="Times New Roman"/>
                <w:i/>
                <w:sz w:val="20"/>
                <w:szCs w:val="20"/>
              </w:rPr>
              <w:t>;</w:t>
            </w:r>
          </w:p>
          <w:p w:rsidR="00251220" w:rsidRPr="00D60728" w:rsidRDefault="00251220" w:rsidP="00BF7DCC">
            <w:pPr>
              <w:pStyle w:val="ListParagraph"/>
              <w:numPr>
                <w:ilvl w:val="0"/>
                <w:numId w:val="34"/>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Ograničenje količine fluorougljikovodika dostupnih na tržištu;</w:t>
            </w:r>
          </w:p>
          <w:p w:rsidR="00251220" w:rsidRPr="00D60728" w:rsidRDefault="00251220" w:rsidP="00BF7DCC">
            <w:pPr>
              <w:pStyle w:val="ListParagraph"/>
              <w:numPr>
                <w:ilvl w:val="0"/>
                <w:numId w:val="34"/>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Ograničenje upotrebe fluoriranih stakleničkih plinova s visokim stakleničkim potencijalom.</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262" w:type="dxa"/>
            <w:gridSpan w:val="2"/>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Ostvareno smanjenje emisije fluoriranih stakleničkih plinova.</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262" w:type="dxa"/>
            <w:gridSpan w:val="2"/>
            <w:vAlign w:val="center"/>
          </w:tcPr>
          <w:p w:rsidR="00251220" w:rsidRPr="00D60728" w:rsidRDefault="00251220" w:rsidP="00BF7DCC">
            <w:pPr>
              <w:pStyle w:val="ListParagraph"/>
              <w:numPr>
                <w:ilvl w:val="0"/>
                <w:numId w:val="35"/>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Nacionalni inventar stakleničkih plinova;</w:t>
            </w:r>
          </w:p>
          <w:p w:rsidR="00251220" w:rsidRPr="00D60728" w:rsidRDefault="00251220" w:rsidP="00BF7DCC">
            <w:pPr>
              <w:pStyle w:val="ListParagraph"/>
              <w:numPr>
                <w:ilvl w:val="0"/>
                <w:numId w:val="35"/>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 xml:space="preserve">Izvješće o provedbi politika i mjera za smanjenje emisija stakleničkih plinova; </w:t>
            </w:r>
          </w:p>
          <w:p w:rsidR="00251220" w:rsidRPr="00D60728" w:rsidRDefault="00251220" w:rsidP="00BF7DCC">
            <w:pPr>
              <w:pStyle w:val="ListParagraph"/>
              <w:numPr>
                <w:ilvl w:val="0"/>
                <w:numId w:val="35"/>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Petogodišnje izvješće o praćenju provedbe NUS.</w:t>
            </w:r>
          </w:p>
        </w:tc>
      </w:tr>
      <w:tr w:rsidR="00251220" w:rsidRPr="00D60728" w:rsidTr="00251220">
        <w:trPr>
          <w:trHeight w:val="454"/>
        </w:trPr>
        <w:tc>
          <w:tcPr>
            <w:tcW w:w="3685" w:type="dxa"/>
            <w:gridSpan w:val="2"/>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262" w:type="dxa"/>
            <w:gridSpan w:val="2"/>
            <w:vAlign w:val="center"/>
          </w:tcPr>
          <w:p w:rsidR="00251220" w:rsidRPr="00D60728" w:rsidRDefault="00251220" w:rsidP="00BF7DCC">
            <w:pPr>
              <w:pStyle w:val="ListParagraph"/>
              <w:spacing w:line="240" w:lineRule="auto"/>
              <w:ind w:left="234"/>
              <w:rPr>
                <w:rFonts w:ascii="Times New Roman" w:hAnsi="Times New Roman"/>
                <w:i/>
                <w:iCs/>
                <w:sz w:val="20"/>
                <w:szCs w:val="20"/>
              </w:rPr>
            </w:pPr>
            <w:r w:rsidRPr="00D60728">
              <w:rPr>
                <w:rFonts w:ascii="Times New Roman" w:hAnsi="Times New Roman"/>
                <w:i/>
                <w:iCs/>
                <w:sz w:val="20"/>
                <w:szCs w:val="20"/>
              </w:rPr>
              <w:t>MIP-5</w:t>
            </w:r>
          </w:p>
        </w:tc>
      </w:tr>
    </w:tbl>
    <w:p w:rsidR="00251220" w:rsidRPr="00D60728" w:rsidRDefault="00251220" w:rsidP="00BF7DCC">
      <w:pPr>
        <w:spacing w:line="240" w:lineRule="auto"/>
        <w:jc w:val="left"/>
        <w:rPr>
          <w:sz w:val="20"/>
          <w:szCs w:val="20"/>
        </w:rPr>
      </w:pPr>
    </w:p>
    <w:p w:rsidR="00251220" w:rsidRPr="00D60728" w:rsidRDefault="00251220" w:rsidP="00BF7DCC">
      <w:pPr>
        <w:spacing w:line="240" w:lineRule="auto"/>
        <w:jc w:val="left"/>
        <w:rPr>
          <w:sz w:val="20"/>
          <w:szCs w:val="20"/>
        </w:rPr>
      </w:pPr>
      <w:r w:rsidRPr="00D60728">
        <w:rPr>
          <w:sz w:val="20"/>
          <w:szCs w:val="20"/>
        </w:rPr>
        <w:br w:type="page"/>
      </w:r>
    </w:p>
    <w:tbl>
      <w:tblPr>
        <w:tblStyle w:val="TableGrid"/>
        <w:tblW w:w="0" w:type="auto"/>
        <w:tblLook w:val="04A0" w:firstRow="1" w:lastRow="0" w:firstColumn="1" w:lastColumn="0" w:noHBand="0" w:noVBand="1"/>
      </w:tblPr>
      <w:tblGrid>
        <w:gridCol w:w="1884"/>
        <w:gridCol w:w="1801"/>
        <w:gridCol w:w="2860"/>
        <w:gridCol w:w="2402"/>
      </w:tblGrid>
      <w:tr w:rsidR="00251220" w:rsidRPr="006D54B7" w:rsidTr="00251220">
        <w:trPr>
          <w:trHeight w:val="454"/>
        </w:trPr>
        <w:tc>
          <w:tcPr>
            <w:tcW w:w="3685" w:type="dxa"/>
            <w:gridSpan w:val="2"/>
            <w:shd w:val="clear" w:color="auto" w:fill="D9D9D9" w:themeFill="background1" w:themeFillShade="D9"/>
            <w:vAlign w:val="center"/>
            <w:hideMark/>
          </w:tcPr>
          <w:p w:rsidR="00251220" w:rsidRPr="006D54B7" w:rsidRDefault="00251220" w:rsidP="00BF7DCC">
            <w:pPr>
              <w:spacing w:line="240" w:lineRule="auto"/>
              <w:ind w:right="57"/>
              <w:rPr>
                <w:rFonts w:ascii="Times New Roman" w:hAnsi="Times New Roman"/>
                <w:b/>
                <w:iCs/>
              </w:rPr>
            </w:pPr>
            <w:r w:rsidRPr="006D54B7">
              <w:rPr>
                <w:rFonts w:ascii="Times New Roman" w:hAnsi="Times New Roman"/>
                <w:b/>
                <w:iCs/>
              </w:rPr>
              <w:lastRenderedPageBreak/>
              <w:t>Naziv mjere</w:t>
            </w:r>
          </w:p>
        </w:tc>
        <w:tc>
          <w:tcPr>
            <w:tcW w:w="5262" w:type="dxa"/>
            <w:gridSpan w:val="2"/>
            <w:shd w:val="clear" w:color="auto" w:fill="D9D9D9" w:themeFill="background1" w:themeFillShade="D9"/>
            <w:vAlign w:val="center"/>
            <w:hideMark/>
          </w:tcPr>
          <w:p w:rsidR="00251220" w:rsidRPr="006D54B7" w:rsidRDefault="00251220" w:rsidP="00BF7DCC">
            <w:pPr>
              <w:spacing w:line="240" w:lineRule="auto"/>
              <w:ind w:right="57"/>
              <w:rPr>
                <w:rFonts w:ascii="Times New Roman" w:hAnsi="Times New Roman"/>
                <w:b/>
                <w:i/>
                <w:iCs/>
              </w:rPr>
            </w:pPr>
            <w:r w:rsidRPr="006D54B7">
              <w:rPr>
                <w:rFonts w:ascii="Times New Roman" w:eastAsia="Times New Roman" w:hAnsi="Times New Roman"/>
                <w:b/>
                <w:lang w:eastAsia="hr-HR"/>
              </w:rPr>
              <w:t>Smanjenje emisija fluoriranih stakleničkih plinova iz mobilnih sustava</w:t>
            </w:r>
            <w:r w:rsidRPr="006D54B7">
              <w:rPr>
                <w:rFonts w:ascii="Times New Roman" w:hAnsi="Times New Roman"/>
                <w:b/>
                <w:lang w:eastAsia="en-US"/>
              </w:rPr>
              <w:t xml:space="preserve"> </w:t>
            </w:r>
            <w:r w:rsidRPr="006D54B7">
              <w:rPr>
                <w:rFonts w:ascii="Times New Roman" w:eastAsia="Times New Roman" w:hAnsi="Times New Roman"/>
                <w:b/>
                <w:lang w:eastAsia="hr-HR"/>
              </w:rPr>
              <w:t>za klimatiziranje</w:t>
            </w:r>
          </w:p>
        </w:tc>
      </w:tr>
      <w:tr w:rsidR="00251220" w:rsidRPr="00D60728" w:rsidTr="00251220">
        <w:trPr>
          <w:trHeight w:val="454"/>
        </w:trPr>
        <w:tc>
          <w:tcPr>
            <w:tcW w:w="3685" w:type="dxa"/>
            <w:gridSpan w:val="2"/>
            <w:vAlign w:val="center"/>
            <w:hideMark/>
          </w:tcPr>
          <w:p w:rsidR="00251220" w:rsidRPr="00D60728" w:rsidRDefault="00251220"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262"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MIP-5</w:t>
            </w:r>
          </w:p>
        </w:tc>
      </w:tr>
      <w:tr w:rsidR="00251220" w:rsidRPr="00D60728" w:rsidTr="00251220">
        <w:trPr>
          <w:trHeight w:val="454"/>
        </w:trPr>
        <w:tc>
          <w:tcPr>
            <w:tcW w:w="1884"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262"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okolišna</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262"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Merge/>
            <w:vAlign w:val="center"/>
            <w:hideMark/>
          </w:tcPr>
          <w:p w:rsidR="00251220" w:rsidRPr="00D60728" w:rsidRDefault="00251220" w:rsidP="00BF7DCC">
            <w:pPr>
              <w:spacing w:line="240" w:lineRule="auto"/>
              <w:rPr>
                <w:rFonts w:ascii="Times New Roman" w:hAnsi="Times New Roman"/>
                <w:sz w:val="20"/>
                <w:szCs w:val="20"/>
              </w:rPr>
            </w:pPr>
          </w:p>
        </w:tc>
        <w:tc>
          <w:tcPr>
            <w:tcW w:w="5262"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262" w:type="dxa"/>
            <w:gridSpan w:val="2"/>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emisija fluoriranih stakleničkih plinova.</w:t>
            </w:r>
          </w:p>
        </w:tc>
      </w:tr>
      <w:tr w:rsidR="00251220" w:rsidRPr="00D60728" w:rsidTr="00251220">
        <w:trPr>
          <w:trHeight w:val="454"/>
        </w:trPr>
        <w:tc>
          <w:tcPr>
            <w:tcW w:w="1884" w:type="dxa"/>
            <w:vMerge/>
            <w:vAlign w:val="center"/>
          </w:tcPr>
          <w:p w:rsidR="00251220" w:rsidRPr="00D60728" w:rsidRDefault="00251220" w:rsidP="00BF7DCC">
            <w:pPr>
              <w:spacing w:line="240" w:lineRule="auto"/>
              <w:rPr>
                <w:rFonts w:ascii="Times New Roman" w:hAnsi="Times New Roman"/>
                <w:sz w:val="20"/>
                <w:szCs w:val="20"/>
              </w:rPr>
            </w:pPr>
          </w:p>
        </w:tc>
        <w:tc>
          <w:tcPr>
            <w:tcW w:w="1801" w:type="dxa"/>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262" w:type="dxa"/>
            <w:gridSpan w:val="2"/>
            <w:vAlign w:val="center"/>
          </w:tcPr>
          <w:p w:rsidR="00251220" w:rsidRPr="00D60728" w:rsidRDefault="00251220" w:rsidP="00BF7DCC">
            <w:pPr>
              <w:spacing w:line="240" w:lineRule="auto"/>
              <w:jc w:val="left"/>
              <w:rPr>
                <w:rFonts w:ascii="Times New Roman" w:hAnsi="Times New Roman"/>
                <w:i/>
                <w:sz w:val="20"/>
                <w:szCs w:val="20"/>
              </w:rPr>
            </w:pPr>
            <w:r w:rsidRPr="00D60728">
              <w:rPr>
                <w:rFonts w:ascii="Times New Roman" w:eastAsia="Times New Roman" w:hAnsi="Times New Roman"/>
                <w:i/>
                <w:sz w:val="20"/>
                <w:szCs w:val="20"/>
                <w:lang w:eastAsia="hr-HR"/>
              </w:rPr>
              <w:t>Direktiva 2006/40/EZ Europskog parlamenta i Vijeća od 17. svibnja 2006. o emisijama iz sustava za klimatizaciju u motornim vozilima i o izmjeni Direktive Vijeća 70/156/EEZ provedena je u tri faze. Posljednja faza stupila je na snagu 01.01.2017. godine ograničenjem mogućnosti naknadne ugradnje klimatizacijske opreme oblikovane da sadrži fluorirane stakleničke plinove s potencijalom globalnog zagrijavanja iznad 150 u motorna vozila i zabranom punjenja klimatizacijske opreme tim plinovima.</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262" w:type="dxa"/>
            <w:gridSpan w:val="2"/>
            <w:vAlign w:val="center"/>
            <w:hideMark/>
          </w:tcPr>
          <w:p w:rsidR="00251220" w:rsidRPr="00D60728" w:rsidRDefault="00251220" w:rsidP="00BF7DCC">
            <w:pPr>
              <w:pStyle w:val="ListParagraph"/>
              <w:numPr>
                <w:ilvl w:val="0"/>
                <w:numId w:val="36"/>
              </w:numPr>
              <w:autoSpaceDE w:val="0"/>
              <w:autoSpaceDN w:val="0"/>
              <w:adjustRightInd w:val="0"/>
              <w:spacing w:line="240" w:lineRule="auto"/>
              <w:ind w:left="234" w:hanging="234"/>
              <w:jc w:val="left"/>
              <w:rPr>
                <w:rFonts w:ascii="Times New Roman" w:hAnsi="Times New Roman"/>
                <w:i/>
                <w:sz w:val="20"/>
                <w:szCs w:val="20"/>
              </w:rPr>
            </w:pPr>
            <w:r w:rsidRPr="00D60728">
              <w:rPr>
                <w:rFonts w:ascii="Times New Roman" w:hAnsi="Times New Roman"/>
                <w:i/>
                <w:sz w:val="20"/>
                <w:szCs w:val="20"/>
              </w:rPr>
              <w:t>Ovlašteni serviseri za obavljanje djelatnosti provjere propuštanja, ugradnje i servisiranje sustava za klimatizaciju koji se ugrađuju u motorna vozila;</w:t>
            </w:r>
          </w:p>
          <w:p w:rsidR="00251220" w:rsidRPr="00D60728" w:rsidRDefault="00251220" w:rsidP="00BF7DCC">
            <w:pPr>
              <w:pStyle w:val="ListParagraph"/>
              <w:numPr>
                <w:ilvl w:val="0"/>
                <w:numId w:val="36"/>
              </w:numPr>
              <w:autoSpaceDE w:val="0"/>
              <w:autoSpaceDN w:val="0"/>
              <w:adjustRightInd w:val="0"/>
              <w:spacing w:line="240" w:lineRule="auto"/>
              <w:ind w:left="234" w:hanging="234"/>
              <w:jc w:val="left"/>
              <w:rPr>
                <w:rFonts w:ascii="Times New Roman" w:hAnsi="Times New Roman"/>
                <w:i/>
                <w:sz w:val="20"/>
                <w:szCs w:val="20"/>
              </w:rPr>
            </w:pPr>
            <w:r w:rsidRPr="00D60728">
              <w:rPr>
                <w:rFonts w:ascii="Times New Roman" w:hAnsi="Times New Roman"/>
                <w:i/>
                <w:sz w:val="20"/>
                <w:szCs w:val="20"/>
              </w:rPr>
              <w:t>Centri za obavljanje djelatnosti prikupljanja, obnavljanja i oporabe fluoriranih stakleničkih plinova;</w:t>
            </w:r>
          </w:p>
          <w:p w:rsidR="00251220" w:rsidRPr="00D60728" w:rsidRDefault="00251220" w:rsidP="00BF7DCC">
            <w:pPr>
              <w:pStyle w:val="ListParagraph"/>
              <w:numPr>
                <w:ilvl w:val="0"/>
                <w:numId w:val="36"/>
              </w:numPr>
              <w:autoSpaceDE w:val="0"/>
              <w:autoSpaceDN w:val="0"/>
              <w:adjustRightInd w:val="0"/>
              <w:spacing w:line="240" w:lineRule="auto"/>
              <w:ind w:left="234" w:hanging="234"/>
              <w:jc w:val="left"/>
              <w:rPr>
                <w:rFonts w:ascii="Times New Roman" w:hAnsi="Times New Roman"/>
                <w:i/>
                <w:sz w:val="20"/>
                <w:szCs w:val="20"/>
              </w:rPr>
            </w:pPr>
            <w:r w:rsidRPr="00D60728">
              <w:rPr>
                <w:rFonts w:ascii="Times New Roman" w:hAnsi="Times New Roman"/>
                <w:i/>
                <w:sz w:val="20"/>
                <w:szCs w:val="20"/>
              </w:rPr>
              <w:t>Proizvođači vozila.</w:t>
            </w:r>
          </w:p>
        </w:tc>
      </w:tr>
      <w:tr w:rsidR="00251220" w:rsidRPr="00D60728" w:rsidTr="00251220">
        <w:trPr>
          <w:trHeight w:val="454"/>
        </w:trPr>
        <w:tc>
          <w:tcPr>
            <w:tcW w:w="1884"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262" w:type="dxa"/>
            <w:gridSpan w:val="2"/>
            <w:vAlign w:val="center"/>
          </w:tcPr>
          <w:p w:rsidR="00251220" w:rsidRPr="00D60728" w:rsidRDefault="00251220" w:rsidP="00BF7DCC">
            <w:pPr>
              <w:pStyle w:val="ListParagraph"/>
              <w:numPr>
                <w:ilvl w:val="0"/>
                <w:numId w:val="3"/>
              </w:numPr>
              <w:spacing w:line="240" w:lineRule="auto"/>
              <w:ind w:left="234" w:hanging="234"/>
              <w:jc w:val="left"/>
              <w:rPr>
                <w:rFonts w:ascii="Times New Roman" w:hAnsi="Times New Roman"/>
                <w:i/>
                <w:sz w:val="20"/>
                <w:szCs w:val="20"/>
              </w:rPr>
            </w:pPr>
            <w:r w:rsidRPr="00D60728">
              <w:rPr>
                <w:rFonts w:ascii="Times New Roman" w:eastAsia="MS Mincho" w:hAnsi="Times New Roman"/>
                <w:i/>
                <w:sz w:val="20"/>
                <w:szCs w:val="20"/>
                <w:lang w:eastAsia="en-US"/>
              </w:rPr>
              <w:t>Ograničenje naknadne ugradnje klimatizacijske opreme u motorna vozila i zabrana punjenja klimatizacijske opreme s fluoriranim stakleničkim plinovima s potencijalom globalnog zagrijavanja iznad 150;</w:t>
            </w:r>
          </w:p>
          <w:p w:rsidR="00251220" w:rsidRPr="00D60728" w:rsidRDefault="00251220" w:rsidP="00BF7DCC">
            <w:pPr>
              <w:pStyle w:val="ListParagraph"/>
              <w:numPr>
                <w:ilvl w:val="0"/>
                <w:numId w:val="3"/>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Utvrđivanje graničnih vrijednosti propuštanja i ispitnih postupaka za ocjenu propusnosti sustava za klimatizaciju koji se ugrađuju u motorna vozila i oblikovani su da sadrže fluorirane stakleničke plinove s potencijalom globalnog zagrijavanja iznad 150;</w:t>
            </w:r>
          </w:p>
          <w:p w:rsidR="00251220" w:rsidRPr="00D60728" w:rsidRDefault="00251220" w:rsidP="00BF7DCC">
            <w:pPr>
              <w:pStyle w:val="ListParagraph"/>
              <w:numPr>
                <w:ilvl w:val="0"/>
                <w:numId w:val="3"/>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Proizvođač vozila treba staviti na raspolaganje sve relevantne tehničke podatke u vezi s ugrađenom klimatizacijskom opremom i plinovima koji se u njoj koriste. U slučaju klimatizacijske opreme oblikovane da sadrži fluorirane stakleničke plinove s potencijalom globalnog zagrijavanja iznad 150, proizvođač vozila treba staviti na raspolaganje podatak o propusnosti tih uređaja.</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262" w:type="dxa"/>
            <w:gridSpan w:val="2"/>
            <w:vAlign w:val="center"/>
          </w:tcPr>
          <w:p w:rsidR="00251220" w:rsidRPr="00D60728" w:rsidRDefault="00251220" w:rsidP="00BF7DCC">
            <w:pPr>
              <w:pStyle w:val="ListParagraph"/>
              <w:numPr>
                <w:ilvl w:val="0"/>
                <w:numId w:val="3"/>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Ministarstvo zaštite okoliša i energetike</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262" w:type="dxa"/>
            <w:gridSpan w:val="2"/>
            <w:vAlign w:val="center"/>
          </w:tcPr>
          <w:p w:rsidR="00251220" w:rsidRPr="00D60728" w:rsidRDefault="00251220" w:rsidP="00BF7DCC">
            <w:pPr>
              <w:pStyle w:val="ListParagraph"/>
              <w:numPr>
                <w:ilvl w:val="0"/>
                <w:numId w:val="33"/>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Središnja tijela državne uprave nadležna za poslove prometa;</w:t>
            </w:r>
          </w:p>
          <w:p w:rsidR="00251220" w:rsidRPr="00D60728" w:rsidRDefault="00251220" w:rsidP="00BF7DCC">
            <w:pPr>
              <w:pStyle w:val="ListParagraph"/>
              <w:numPr>
                <w:ilvl w:val="0"/>
                <w:numId w:val="33"/>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Fond za zaštitu okoliša i energetsku učinkovitost.</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262" w:type="dxa"/>
            <w:gridSpan w:val="2"/>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sredstva: 250.000 EUR</w:t>
            </w:r>
          </w:p>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sz w:val="20"/>
                <w:szCs w:val="20"/>
              </w:rPr>
              <w:t>Izvori financiranja: korištenje sredstava Fonda za zaštitu okoliša i energetsku učinkovitost, Fonda za modernizaciju te strukturnih fondova EU.</w:t>
            </w:r>
          </w:p>
        </w:tc>
      </w:tr>
      <w:tr w:rsidR="00251220" w:rsidRPr="00D60728" w:rsidTr="00251220">
        <w:trPr>
          <w:trHeight w:val="454"/>
        </w:trPr>
        <w:tc>
          <w:tcPr>
            <w:tcW w:w="1884"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01" w:type="dxa"/>
            <w:vMerge w:val="restart"/>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860" w:type="dxa"/>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-eq)</w:t>
            </w:r>
          </w:p>
        </w:tc>
        <w:tc>
          <w:tcPr>
            <w:tcW w:w="2402" w:type="dxa"/>
            <w:vAlign w:val="center"/>
          </w:tcPr>
          <w:p w:rsidR="00251220" w:rsidRPr="00D60728" w:rsidRDefault="00251220"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Smanjenje emisije 2 kt CO</w:t>
            </w:r>
            <w:r w:rsidRPr="00D60728">
              <w:rPr>
                <w:rFonts w:ascii="Times New Roman" w:hAnsi="Times New Roman"/>
                <w:i/>
                <w:iCs/>
                <w:sz w:val="20"/>
                <w:szCs w:val="20"/>
                <w:vertAlign w:val="subscript"/>
              </w:rPr>
              <w:t>2</w:t>
            </w:r>
            <w:r w:rsidRPr="00D60728">
              <w:rPr>
                <w:rFonts w:ascii="Times New Roman" w:hAnsi="Times New Roman"/>
                <w:i/>
                <w:iCs/>
                <w:sz w:val="20"/>
                <w:szCs w:val="20"/>
              </w:rPr>
              <w:t>-eq u odnosu na referentni scenarij (2025. godina).</w:t>
            </w:r>
          </w:p>
          <w:p w:rsidR="00251220" w:rsidRPr="00D60728" w:rsidRDefault="00251220"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lastRenderedPageBreak/>
              <w:t>Intenzivnije smanjenje emisije nakon 2030. godine.</w:t>
            </w:r>
          </w:p>
        </w:tc>
      </w:tr>
      <w:tr w:rsidR="00251220" w:rsidRPr="00D60728" w:rsidTr="00251220">
        <w:trPr>
          <w:trHeight w:val="454"/>
        </w:trPr>
        <w:tc>
          <w:tcPr>
            <w:tcW w:w="1884" w:type="dxa"/>
            <w:vMerge/>
            <w:vAlign w:val="center"/>
          </w:tcPr>
          <w:p w:rsidR="00251220" w:rsidRPr="00D60728" w:rsidRDefault="00251220" w:rsidP="00BF7DCC">
            <w:pPr>
              <w:spacing w:line="240" w:lineRule="auto"/>
              <w:rPr>
                <w:rFonts w:ascii="Times New Roman" w:hAnsi="Times New Roman"/>
                <w:sz w:val="20"/>
                <w:szCs w:val="20"/>
              </w:rPr>
            </w:pPr>
          </w:p>
        </w:tc>
        <w:tc>
          <w:tcPr>
            <w:tcW w:w="1801" w:type="dxa"/>
            <w:vMerge/>
            <w:vAlign w:val="center"/>
          </w:tcPr>
          <w:p w:rsidR="00251220" w:rsidRPr="00D60728" w:rsidRDefault="00251220" w:rsidP="00BF7DCC">
            <w:pPr>
              <w:spacing w:line="240" w:lineRule="auto"/>
              <w:rPr>
                <w:rFonts w:ascii="Times New Roman" w:hAnsi="Times New Roman"/>
                <w:sz w:val="20"/>
                <w:szCs w:val="20"/>
              </w:rPr>
            </w:pPr>
          </w:p>
        </w:tc>
        <w:tc>
          <w:tcPr>
            <w:tcW w:w="5262" w:type="dxa"/>
            <w:gridSpan w:val="2"/>
            <w:vAlign w:val="center"/>
          </w:tcPr>
          <w:p w:rsidR="00251220" w:rsidRPr="00D60728" w:rsidRDefault="00251220" w:rsidP="00BF7DCC">
            <w:pPr>
              <w:pStyle w:val="ListParagraph"/>
              <w:numPr>
                <w:ilvl w:val="0"/>
                <w:numId w:val="34"/>
              </w:numPr>
              <w:spacing w:line="240" w:lineRule="auto"/>
              <w:ind w:left="234" w:hanging="234"/>
              <w:jc w:val="left"/>
              <w:rPr>
                <w:rFonts w:ascii="Times New Roman" w:hAnsi="Times New Roman"/>
                <w:i/>
                <w:sz w:val="20"/>
                <w:szCs w:val="20"/>
              </w:rPr>
            </w:pPr>
            <w:r w:rsidRPr="00D60728">
              <w:rPr>
                <w:rFonts w:ascii="Times New Roman" w:eastAsia="Times New Roman" w:hAnsi="Times New Roman"/>
                <w:i/>
                <w:sz w:val="20"/>
                <w:szCs w:val="20"/>
                <w:lang w:eastAsia="hr-HR"/>
              </w:rPr>
              <w:t>Ograničenje mogućnosti naknadne ugradnje klimatizacijske opreme oblikovane da sadrži fluorirane stakleničke plinove s potencijalom globalnog zagrijavanja iznad 150 u motorna vozila;</w:t>
            </w:r>
          </w:p>
          <w:p w:rsidR="00251220" w:rsidRPr="00D60728" w:rsidRDefault="00251220" w:rsidP="00BF7DCC">
            <w:pPr>
              <w:pStyle w:val="ListParagraph"/>
              <w:numPr>
                <w:ilvl w:val="0"/>
                <w:numId w:val="34"/>
              </w:numPr>
              <w:spacing w:line="240" w:lineRule="auto"/>
              <w:ind w:left="234" w:hanging="234"/>
              <w:jc w:val="left"/>
              <w:rPr>
                <w:rFonts w:ascii="Times New Roman" w:hAnsi="Times New Roman"/>
                <w:i/>
                <w:sz w:val="20"/>
                <w:szCs w:val="20"/>
              </w:rPr>
            </w:pPr>
            <w:r w:rsidRPr="00D60728">
              <w:rPr>
                <w:rFonts w:ascii="Times New Roman" w:eastAsia="Times New Roman" w:hAnsi="Times New Roman"/>
                <w:i/>
                <w:sz w:val="20"/>
                <w:szCs w:val="20"/>
                <w:lang w:eastAsia="hr-HR"/>
              </w:rPr>
              <w:t>Zabrana punjenja klimatizacijske opreme motornih vozila s fluoriranim stakleničkim plinovima s potencijalom globalnog zagrijavanja iznad 150.</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262" w:type="dxa"/>
            <w:gridSpan w:val="2"/>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Ostvareno smanjenje emisije fluoriranih stakleničkih plinova.</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262" w:type="dxa"/>
            <w:gridSpan w:val="2"/>
            <w:vAlign w:val="center"/>
          </w:tcPr>
          <w:p w:rsidR="00251220" w:rsidRPr="00D60728" w:rsidRDefault="00251220" w:rsidP="00BF7DCC">
            <w:pPr>
              <w:pStyle w:val="ListParagraph"/>
              <w:numPr>
                <w:ilvl w:val="0"/>
                <w:numId w:val="35"/>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Nacionalni inventar stakleničkih plinova;</w:t>
            </w:r>
          </w:p>
          <w:p w:rsidR="00251220" w:rsidRPr="00D60728" w:rsidRDefault="00251220" w:rsidP="00BF7DCC">
            <w:pPr>
              <w:pStyle w:val="ListParagraph"/>
              <w:numPr>
                <w:ilvl w:val="0"/>
                <w:numId w:val="35"/>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 xml:space="preserve">Izvješće o provedbi politika i mjera za smanjenje emisija stakleničkih plinova; </w:t>
            </w:r>
          </w:p>
          <w:p w:rsidR="00251220" w:rsidRPr="00D60728" w:rsidRDefault="00251220" w:rsidP="00BF7DCC">
            <w:pPr>
              <w:pStyle w:val="ListParagraph"/>
              <w:numPr>
                <w:ilvl w:val="0"/>
                <w:numId w:val="35"/>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Petogodišnje izvješće o praćenju provedbe NUS.</w:t>
            </w:r>
          </w:p>
        </w:tc>
      </w:tr>
      <w:tr w:rsidR="00251220" w:rsidRPr="00D60728" w:rsidTr="00251220">
        <w:trPr>
          <w:trHeight w:val="454"/>
        </w:trPr>
        <w:tc>
          <w:tcPr>
            <w:tcW w:w="3685" w:type="dxa"/>
            <w:gridSpan w:val="2"/>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262" w:type="dxa"/>
            <w:gridSpan w:val="2"/>
            <w:vAlign w:val="center"/>
          </w:tcPr>
          <w:p w:rsidR="00251220" w:rsidRPr="00D60728" w:rsidRDefault="00251220" w:rsidP="00BF7DCC">
            <w:pPr>
              <w:pStyle w:val="ListParagraph"/>
              <w:spacing w:line="240" w:lineRule="auto"/>
              <w:ind w:left="234"/>
              <w:rPr>
                <w:rFonts w:ascii="Times New Roman" w:hAnsi="Times New Roman"/>
                <w:i/>
                <w:iCs/>
                <w:sz w:val="20"/>
                <w:szCs w:val="20"/>
              </w:rPr>
            </w:pPr>
            <w:r w:rsidRPr="00D60728">
              <w:rPr>
                <w:rFonts w:ascii="Times New Roman" w:hAnsi="Times New Roman"/>
                <w:i/>
                <w:iCs/>
                <w:sz w:val="20"/>
                <w:szCs w:val="20"/>
              </w:rPr>
              <w:t>MIP-2, MIP-3, MIP-4</w:t>
            </w:r>
          </w:p>
        </w:tc>
      </w:tr>
    </w:tbl>
    <w:p w:rsidR="00251220" w:rsidRPr="00D60728" w:rsidRDefault="00251220" w:rsidP="00BF7DCC">
      <w:pPr>
        <w:spacing w:line="240" w:lineRule="auto"/>
        <w:jc w:val="left"/>
        <w:rPr>
          <w:sz w:val="20"/>
          <w:szCs w:val="20"/>
        </w:rPr>
      </w:pPr>
    </w:p>
    <w:p w:rsidR="00EE56B3" w:rsidRPr="00D60728" w:rsidRDefault="00EE56B3" w:rsidP="00BF7DCC">
      <w:pPr>
        <w:spacing w:line="240" w:lineRule="auto"/>
        <w:rPr>
          <w:sz w:val="20"/>
          <w:szCs w:val="20"/>
        </w:rPr>
      </w:pPr>
    </w:p>
    <w:p w:rsidR="006D54B7" w:rsidRDefault="006D54B7">
      <w:pPr>
        <w:spacing w:line="240" w:lineRule="auto"/>
        <w:jc w:val="left"/>
        <w:rPr>
          <w:b/>
          <w:bCs/>
          <w:sz w:val="28"/>
          <w:szCs w:val="26"/>
        </w:rPr>
      </w:pPr>
      <w:bookmarkStart w:id="28" w:name="_Toc24621597"/>
      <w:bookmarkStart w:id="29" w:name="_Toc24632360"/>
      <w:bookmarkStart w:id="30" w:name="_Toc24634710"/>
      <w:bookmarkStart w:id="31" w:name="_Toc24702450"/>
      <w:r>
        <w:br w:type="page"/>
      </w:r>
    </w:p>
    <w:p w:rsidR="00742F0A" w:rsidRPr="00D60728" w:rsidRDefault="00742F0A" w:rsidP="006D54B7">
      <w:pPr>
        <w:pStyle w:val="Heading3"/>
        <w:spacing w:before="0" w:line="240" w:lineRule="auto"/>
        <w:ind w:left="0" w:firstLine="0"/>
        <w:rPr>
          <w:rFonts w:ascii="Times New Roman" w:hAnsi="Times New Roman" w:cs="Times New Roman"/>
        </w:rPr>
      </w:pPr>
      <w:bookmarkStart w:id="32" w:name="_Toc34147572"/>
      <w:r w:rsidRPr="00D60728">
        <w:rPr>
          <w:rFonts w:ascii="Times New Roman" w:hAnsi="Times New Roman" w:cs="Times New Roman"/>
        </w:rPr>
        <w:lastRenderedPageBreak/>
        <w:t>3.3.</w:t>
      </w:r>
      <w:r w:rsidR="0064574C" w:rsidRPr="00D60728">
        <w:rPr>
          <w:rFonts w:ascii="Times New Roman" w:hAnsi="Times New Roman" w:cs="Times New Roman"/>
        </w:rPr>
        <w:t>4</w:t>
      </w:r>
      <w:r w:rsidRPr="00D60728">
        <w:rPr>
          <w:rFonts w:ascii="Times New Roman" w:hAnsi="Times New Roman" w:cs="Times New Roman"/>
        </w:rPr>
        <w:t>.</w:t>
      </w:r>
      <w:r w:rsidRPr="00D60728">
        <w:rPr>
          <w:rFonts w:ascii="Times New Roman" w:hAnsi="Times New Roman" w:cs="Times New Roman"/>
        </w:rPr>
        <w:tab/>
        <w:t>Poljoprivreda</w:t>
      </w:r>
      <w:bookmarkEnd w:id="28"/>
      <w:bookmarkEnd w:id="29"/>
      <w:bookmarkEnd w:id="30"/>
      <w:bookmarkEnd w:id="31"/>
      <w:bookmarkEnd w:id="32"/>
    </w:p>
    <w:p w:rsidR="00BA77D2" w:rsidRPr="00D60728" w:rsidRDefault="00BA77D2" w:rsidP="00BF7DCC">
      <w:pPr>
        <w:spacing w:line="240" w:lineRule="auto"/>
        <w:rPr>
          <w:sz w:val="20"/>
          <w:szCs w:val="20"/>
        </w:rPr>
      </w:pPr>
    </w:p>
    <w:tbl>
      <w:tblPr>
        <w:tblStyle w:val="TableGrid"/>
        <w:tblW w:w="5000" w:type="pct"/>
        <w:tblLook w:val="04A0" w:firstRow="1" w:lastRow="0" w:firstColumn="1" w:lastColumn="0" w:noHBand="0" w:noVBand="1"/>
      </w:tblPr>
      <w:tblGrid>
        <w:gridCol w:w="1962"/>
        <w:gridCol w:w="1957"/>
        <w:gridCol w:w="2731"/>
        <w:gridCol w:w="2410"/>
      </w:tblGrid>
      <w:tr w:rsidR="00BA77D2" w:rsidRPr="006D54B7" w:rsidTr="00A84583">
        <w:trPr>
          <w:trHeight w:val="454"/>
        </w:trPr>
        <w:tc>
          <w:tcPr>
            <w:tcW w:w="4107"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t>Naziv mjere</w:t>
            </w:r>
          </w:p>
        </w:tc>
        <w:tc>
          <w:tcPr>
            <w:tcW w:w="5462"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iCs/>
              </w:rPr>
              <w:t>Promjena u prehrani ishrane goveda i svinja te kvalitete stočne hrane</w:t>
            </w:r>
          </w:p>
        </w:tc>
      </w:tr>
      <w:tr w:rsidR="00BA77D2" w:rsidRPr="00D60728" w:rsidTr="00A84583">
        <w:trPr>
          <w:trHeight w:val="454"/>
        </w:trPr>
        <w:tc>
          <w:tcPr>
            <w:tcW w:w="410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462"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MAG-1</w:t>
            </w:r>
          </w:p>
        </w:tc>
      </w:tr>
      <w:tr w:rsidR="00BA77D2" w:rsidRPr="00D60728" w:rsidTr="00A84583">
        <w:trPr>
          <w:trHeight w:val="454"/>
        </w:trPr>
        <w:tc>
          <w:tcPr>
            <w:tcW w:w="2068"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2039"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462"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 ekonomska</w:t>
            </w:r>
          </w:p>
        </w:tc>
      </w:tr>
      <w:tr w:rsidR="00BA77D2" w:rsidRPr="00D60728" w:rsidTr="00A84583">
        <w:trPr>
          <w:trHeight w:val="454"/>
        </w:trPr>
        <w:tc>
          <w:tcPr>
            <w:tcW w:w="2068" w:type="dxa"/>
            <w:vMerge/>
            <w:vAlign w:val="center"/>
            <w:hideMark/>
          </w:tcPr>
          <w:p w:rsidR="00BA77D2" w:rsidRPr="00D60728" w:rsidRDefault="00BA77D2" w:rsidP="00BF7DCC">
            <w:pPr>
              <w:spacing w:line="240" w:lineRule="auto"/>
              <w:rPr>
                <w:rFonts w:ascii="Times New Roman" w:hAnsi="Times New Roman"/>
                <w:sz w:val="20"/>
                <w:szCs w:val="20"/>
              </w:rPr>
            </w:pPr>
          </w:p>
        </w:tc>
        <w:tc>
          <w:tcPr>
            <w:tcW w:w="2039"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462"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A84583">
        <w:trPr>
          <w:trHeight w:val="454"/>
        </w:trPr>
        <w:tc>
          <w:tcPr>
            <w:tcW w:w="2068" w:type="dxa"/>
            <w:vMerge/>
            <w:vAlign w:val="center"/>
            <w:hideMark/>
          </w:tcPr>
          <w:p w:rsidR="00BA77D2" w:rsidRPr="00D60728" w:rsidRDefault="00BA77D2" w:rsidP="00BF7DCC">
            <w:pPr>
              <w:spacing w:line="240" w:lineRule="auto"/>
              <w:rPr>
                <w:rFonts w:ascii="Times New Roman" w:hAnsi="Times New Roman"/>
                <w:sz w:val="20"/>
                <w:szCs w:val="20"/>
              </w:rPr>
            </w:pPr>
          </w:p>
        </w:tc>
        <w:tc>
          <w:tcPr>
            <w:tcW w:w="2039" w:type="dxa"/>
            <w:vMerge/>
            <w:vAlign w:val="center"/>
            <w:hideMark/>
          </w:tcPr>
          <w:p w:rsidR="00BA77D2" w:rsidRPr="00D60728" w:rsidRDefault="00BA77D2" w:rsidP="00BF7DCC">
            <w:pPr>
              <w:spacing w:line="240" w:lineRule="auto"/>
              <w:rPr>
                <w:rFonts w:ascii="Times New Roman" w:hAnsi="Times New Roman"/>
                <w:sz w:val="20"/>
                <w:szCs w:val="20"/>
              </w:rPr>
            </w:pPr>
          </w:p>
        </w:tc>
        <w:tc>
          <w:tcPr>
            <w:tcW w:w="5462"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2025.</w:t>
            </w:r>
          </w:p>
        </w:tc>
      </w:tr>
      <w:tr w:rsidR="00BA77D2" w:rsidRPr="00D60728" w:rsidTr="00A84583">
        <w:trPr>
          <w:trHeight w:val="454"/>
        </w:trPr>
        <w:tc>
          <w:tcPr>
            <w:tcW w:w="2068" w:type="dxa"/>
            <w:vMerge/>
            <w:vAlign w:val="center"/>
            <w:hideMark/>
          </w:tcPr>
          <w:p w:rsidR="00BA77D2" w:rsidRPr="00D60728" w:rsidRDefault="00BA77D2" w:rsidP="00BF7DCC">
            <w:pPr>
              <w:spacing w:line="240" w:lineRule="auto"/>
              <w:rPr>
                <w:rFonts w:ascii="Times New Roman" w:hAnsi="Times New Roman"/>
                <w:sz w:val="20"/>
                <w:szCs w:val="20"/>
              </w:rPr>
            </w:pPr>
          </w:p>
        </w:tc>
        <w:tc>
          <w:tcPr>
            <w:tcW w:w="2039"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462"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Smanjenje emisija metana iz crijevne fermentacija i izlučivanja metana i dušika iz gospodarenja stajskim gnojem kroz promjene u režimu ishrane i izmjenama sastava stočne hrane; unaprjeđenje sustava izvještavanja o emisijama</w:t>
            </w:r>
          </w:p>
        </w:tc>
      </w:tr>
      <w:tr w:rsidR="00BA77D2" w:rsidRPr="00D60728" w:rsidTr="00A84583">
        <w:trPr>
          <w:trHeight w:val="454"/>
        </w:trPr>
        <w:tc>
          <w:tcPr>
            <w:tcW w:w="2068" w:type="dxa"/>
            <w:vMerge/>
            <w:vAlign w:val="center"/>
          </w:tcPr>
          <w:p w:rsidR="00BA77D2" w:rsidRPr="00D60728" w:rsidRDefault="00BA77D2" w:rsidP="00BF7DCC">
            <w:pPr>
              <w:spacing w:line="240" w:lineRule="auto"/>
              <w:rPr>
                <w:rFonts w:ascii="Times New Roman" w:hAnsi="Times New Roman"/>
                <w:sz w:val="20"/>
                <w:szCs w:val="20"/>
              </w:rPr>
            </w:pPr>
          </w:p>
        </w:tc>
        <w:tc>
          <w:tcPr>
            <w:tcW w:w="2039"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462"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Emisija stakleničkih plinova iz stočarske proizvodnje izravna je posljedica procesa crijevne fermentacije i dekompozicije stajskog gnoja ili nastaje neizravno tijekom aktivnosti vezanih za pripremu hrane ili drugih procesa na farmi. Stoga su i mjere koje se poduzimaju u cilju smanjenja emisije stakleničkih plinova usmjerene na regulaciju probavnih procesa. U praksi se najčešće primjenjuje više mjera istovremeno pri čemu neke od njih djeluju istovremeno na crijevnu fermentaciju ali i smanjenje emisije tijekom manipulacije stajskim gnojem. Postoje različite mjere kojima se može značajno utjecati na smanjenje emisija, od kojih se određene već provode, a neke su očekivane  u referentnom scenariju. Do 2020. godine očekuje se daljnji rad na implementaciji i sinergiji aktivnosti promjene režima ishrane, obrada krmiv</w:t>
            </w:r>
            <w:r w:rsidR="00597B39">
              <w:rPr>
                <w:rFonts w:ascii="Times New Roman" w:hAnsi="Times New Roman"/>
                <w:i/>
                <w:sz w:val="20"/>
                <w:szCs w:val="20"/>
              </w:rPr>
              <w:t>a</w:t>
            </w:r>
            <w:r w:rsidRPr="00D60728">
              <w:rPr>
                <w:rFonts w:ascii="Times New Roman" w:hAnsi="Times New Roman"/>
                <w:i/>
                <w:sz w:val="20"/>
                <w:szCs w:val="20"/>
              </w:rPr>
              <w:t xml:space="preserve"> s ciljem povećanja njihove probavljivosti i upotrebe dodataka (aditiva) u hrani za životinje. </w:t>
            </w:r>
            <w:r w:rsidRPr="00D60728">
              <w:rPr>
                <w:rFonts w:ascii="Times New Roman" w:hAnsi="Times New Roman"/>
                <w:i/>
                <w:iCs/>
                <w:sz w:val="20"/>
                <w:szCs w:val="20"/>
              </w:rPr>
              <w:t>Dodatno je moguće daljnje smanjenje emisije stakleničkih plinova implementacijom ciljanih podmjera p</w:t>
            </w:r>
            <w:r w:rsidRPr="00D60728">
              <w:rPr>
                <w:rFonts w:ascii="Times New Roman" w:hAnsi="Times New Roman"/>
                <w:i/>
                <w:sz w:val="20"/>
                <w:szCs w:val="20"/>
              </w:rPr>
              <w:t>romjene režima ishrane, kao i na poboljšanju kvalitete voluminoznih krmiva i unapređenje sustava napasivanja.</w:t>
            </w:r>
          </w:p>
        </w:tc>
      </w:tr>
      <w:tr w:rsidR="00BA77D2" w:rsidRPr="00D60728" w:rsidTr="00A84583">
        <w:trPr>
          <w:trHeight w:val="454"/>
        </w:trPr>
        <w:tc>
          <w:tcPr>
            <w:tcW w:w="2068" w:type="dxa"/>
            <w:vMerge/>
            <w:vAlign w:val="center"/>
            <w:hideMark/>
          </w:tcPr>
          <w:p w:rsidR="00BA77D2" w:rsidRPr="00D60728" w:rsidRDefault="00BA77D2" w:rsidP="00BF7DCC">
            <w:pPr>
              <w:spacing w:line="240" w:lineRule="auto"/>
              <w:rPr>
                <w:rFonts w:ascii="Times New Roman" w:hAnsi="Times New Roman"/>
                <w:sz w:val="20"/>
                <w:szCs w:val="20"/>
              </w:rPr>
            </w:pPr>
          </w:p>
        </w:tc>
        <w:tc>
          <w:tcPr>
            <w:tcW w:w="2039"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462"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iCs/>
                <w:sz w:val="20"/>
                <w:szCs w:val="20"/>
              </w:rPr>
              <w:t xml:space="preserve">Poduzeća sa poljoprivrednom djelatnošću (stočarstvo), Stočarska gospodarstva, </w:t>
            </w:r>
            <w:r w:rsidR="00597B39" w:rsidRPr="00D60728">
              <w:rPr>
                <w:rFonts w:ascii="Times New Roman" w:hAnsi="Times New Roman"/>
                <w:i/>
                <w:iCs/>
                <w:sz w:val="20"/>
                <w:szCs w:val="20"/>
              </w:rPr>
              <w:t>Mljekarstvo</w:t>
            </w:r>
            <w:r w:rsidRPr="00D60728">
              <w:rPr>
                <w:rFonts w:ascii="Times New Roman" w:hAnsi="Times New Roman"/>
                <w:i/>
                <w:iCs/>
                <w:sz w:val="20"/>
                <w:szCs w:val="20"/>
              </w:rPr>
              <w:t xml:space="preserve">-stočarske zadruge i clusteri, </w:t>
            </w:r>
            <w:r w:rsidRPr="00D60728">
              <w:rPr>
                <w:rFonts w:ascii="Times New Roman" w:hAnsi="Times New Roman"/>
                <w:i/>
                <w:sz w:val="20"/>
                <w:szCs w:val="20"/>
              </w:rPr>
              <w:t>Proizvođači (tvornice) stočne hrane</w:t>
            </w:r>
          </w:p>
        </w:tc>
      </w:tr>
      <w:tr w:rsidR="00BA77D2" w:rsidRPr="00D60728" w:rsidTr="00A84583">
        <w:trPr>
          <w:trHeight w:val="454"/>
        </w:trPr>
        <w:tc>
          <w:tcPr>
            <w:tcW w:w="2068"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2039"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462" w:type="dxa"/>
            <w:gridSpan w:val="2"/>
            <w:vAlign w:val="center"/>
          </w:tcPr>
          <w:p w:rsidR="00BA77D2" w:rsidRPr="00D60728" w:rsidRDefault="00BA77D2" w:rsidP="00BF7DCC">
            <w:pPr>
              <w:pStyle w:val="ListParagraph"/>
              <w:spacing w:line="240" w:lineRule="auto"/>
              <w:ind w:left="0"/>
              <w:contextualSpacing w:val="0"/>
              <w:rPr>
                <w:rFonts w:ascii="Times New Roman" w:hAnsi="Times New Roman"/>
                <w:i/>
                <w:sz w:val="20"/>
                <w:szCs w:val="20"/>
              </w:rPr>
            </w:pPr>
            <w:r w:rsidRPr="00D60728">
              <w:rPr>
                <w:rFonts w:ascii="Times New Roman" w:hAnsi="Times New Roman"/>
                <w:i/>
                <w:sz w:val="20"/>
                <w:szCs w:val="20"/>
              </w:rPr>
              <w:t>Izrada razvojnih programa za povećanje udjela implementacije mjera :</w:t>
            </w:r>
          </w:p>
          <w:p w:rsidR="00BA77D2" w:rsidRPr="00D60728" w:rsidRDefault="00BA77D2" w:rsidP="00BF7DCC">
            <w:pPr>
              <w:pStyle w:val="ListParagraph"/>
              <w:numPr>
                <w:ilvl w:val="0"/>
                <w:numId w:val="19"/>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Promjena režima ishrane</w:t>
            </w:r>
          </w:p>
          <w:p w:rsidR="00BA77D2" w:rsidRPr="00D60728" w:rsidRDefault="00BA77D2" w:rsidP="00BF7DCC">
            <w:pPr>
              <w:pStyle w:val="ListParagraph"/>
              <w:numPr>
                <w:ilvl w:val="0"/>
                <w:numId w:val="5"/>
              </w:numPr>
              <w:spacing w:line="240" w:lineRule="auto"/>
              <w:contextualSpacing w:val="0"/>
              <w:rPr>
                <w:rFonts w:ascii="Times New Roman" w:hAnsi="Times New Roman"/>
                <w:i/>
                <w:sz w:val="20"/>
                <w:szCs w:val="20"/>
              </w:rPr>
            </w:pPr>
            <w:r w:rsidRPr="00D60728">
              <w:rPr>
                <w:rFonts w:ascii="Times New Roman" w:hAnsi="Times New Roman"/>
                <w:i/>
                <w:sz w:val="20"/>
                <w:szCs w:val="20"/>
              </w:rPr>
              <w:t xml:space="preserve">Izbor krmiva prilagođen potrebama životinja </w:t>
            </w:r>
          </w:p>
          <w:p w:rsidR="00BA77D2" w:rsidRPr="00D60728" w:rsidRDefault="00BA77D2" w:rsidP="00BF7DCC">
            <w:pPr>
              <w:pStyle w:val="ListParagraph"/>
              <w:numPr>
                <w:ilvl w:val="0"/>
                <w:numId w:val="5"/>
              </w:numPr>
              <w:spacing w:line="240" w:lineRule="auto"/>
              <w:contextualSpacing w:val="0"/>
              <w:rPr>
                <w:rFonts w:ascii="Times New Roman" w:hAnsi="Times New Roman"/>
                <w:i/>
                <w:sz w:val="20"/>
                <w:szCs w:val="20"/>
              </w:rPr>
            </w:pPr>
            <w:r w:rsidRPr="00D60728">
              <w:rPr>
                <w:rFonts w:ascii="Times New Roman" w:hAnsi="Times New Roman"/>
                <w:i/>
                <w:sz w:val="20"/>
                <w:szCs w:val="20"/>
              </w:rPr>
              <w:t>Analiza krmiva i primjena načela precizne hranidbe</w:t>
            </w:r>
          </w:p>
          <w:p w:rsidR="00BA77D2" w:rsidRPr="00D60728" w:rsidRDefault="00BA77D2" w:rsidP="00BF7DCC">
            <w:pPr>
              <w:pStyle w:val="ListParagraph"/>
              <w:numPr>
                <w:ilvl w:val="0"/>
                <w:numId w:val="19"/>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Poticanje obrade krmiva s ciljem povećanja njihove probavljivosti:</w:t>
            </w:r>
          </w:p>
          <w:p w:rsidR="00BA77D2" w:rsidRPr="00D60728" w:rsidRDefault="00BA77D2" w:rsidP="00BF7DCC">
            <w:pPr>
              <w:pStyle w:val="ListParagraph"/>
              <w:numPr>
                <w:ilvl w:val="0"/>
                <w:numId w:val="5"/>
              </w:numPr>
              <w:spacing w:line="240" w:lineRule="auto"/>
              <w:contextualSpacing w:val="0"/>
              <w:rPr>
                <w:rFonts w:ascii="Times New Roman" w:hAnsi="Times New Roman"/>
                <w:i/>
                <w:sz w:val="20"/>
                <w:szCs w:val="20"/>
              </w:rPr>
            </w:pPr>
            <w:r w:rsidRPr="00D60728">
              <w:rPr>
                <w:rFonts w:ascii="Times New Roman" w:hAnsi="Times New Roman"/>
                <w:i/>
                <w:sz w:val="20"/>
                <w:szCs w:val="20"/>
              </w:rPr>
              <w:t xml:space="preserve">Peletiranje, hidrotermička obrada, Kemijsko tretiranje </w:t>
            </w:r>
          </w:p>
          <w:p w:rsidR="00BA77D2" w:rsidRPr="00D60728" w:rsidRDefault="00BA77D2" w:rsidP="00BF7DCC">
            <w:pPr>
              <w:pStyle w:val="ListParagraph"/>
              <w:numPr>
                <w:ilvl w:val="0"/>
                <w:numId w:val="19"/>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Upotreba dodataka u hrani za životinje:</w:t>
            </w:r>
          </w:p>
          <w:p w:rsidR="00BA77D2" w:rsidRPr="00D60728" w:rsidRDefault="00BA77D2" w:rsidP="00BF7DCC">
            <w:pPr>
              <w:pStyle w:val="ListParagraph"/>
              <w:numPr>
                <w:ilvl w:val="0"/>
                <w:numId w:val="5"/>
              </w:numPr>
              <w:spacing w:line="240" w:lineRule="auto"/>
              <w:contextualSpacing w:val="0"/>
              <w:rPr>
                <w:rFonts w:ascii="Times New Roman" w:hAnsi="Times New Roman"/>
                <w:i/>
                <w:sz w:val="20"/>
                <w:szCs w:val="20"/>
              </w:rPr>
            </w:pPr>
            <w:r w:rsidRPr="00D60728">
              <w:rPr>
                <w:rFonts w:ascii="Times New Roman" w:hAnsi="Times New Roman"/>
                <w:i/>
                <w:sz w:val="20"/>
                <w:szCs w:val="20"/>
              </w:rPr>
              <w:t xml:space="preserve">Biljnih ekstrakata koji sadrže bioaktivne tvari koje imaju sposobnost regulacije crijevne mikroflore </w:t>
            </w:r>
          </w:p>
          <w:p w:rsidR="00BA77D2" w:rsidRPr="00D60728" w:rsidRDefault="00BA77D2" w:rsidP="00BF7DCC">
            <w:pPr>
              <w:pStyle w:val="ListParagraph"/>
              <w:numPr>
                <w:ilvl w:val="0"/>
                <w:numId w:val="5"/>
              </w:numPr>
              <w:spacing w:line="240" w:lineRule="auto"/>
              <w:contextualSpacing w:val="0"/>
              <w:rPr>
                <w:rFonts w:ascii="Times New Roman" w:hAnsi="Times New Roman"/>
                <w:i/>
                <w:sz w:val="20"/>
                <w:szCs w:val="20"/>
              </w:rPr>
            </w:pPr>
            <w:r w:rsidRPr="00D60728">
              <w:rPr>
                <w:rFonts w:ascii="Times New Roman" w:hAnsi="Times New Roman"/>
                <w:i/>
                <w:sz w:val="20"/>
                <w:szCs w:val="20"/>
              </w:rPr>
              <w:t xml:space="preserve">Egzogenih enzima </w:t>
            </w:r>
          </w:p>
          <w:p w:rsidR="00BA77D2" w:rsidRPr="00D60728" w:rsidRDefault="00BA77D2" w:rsidP="00BF7DCC">
            <w:pPr>
              <w:pStyle w:val="ListParagraph"/>
              <w:numPr>
                <w:ilvl w:val="0"/>
                <w:numId w:val="5"/>
              </w:numPr>
              <w:spacing w:line="240" w:lineRule="auto"/>
              <w:contextualSpacing w:val="0"/>
              <w:rPr>
                <w:rFonts w:ascii="Times New Roman" w:hAnsi="Times New Roman"/>
                <w:i/>
                <w:sz w:val="20"/>
                <w:szCs w:val="20"/>
              </w:rPr>
            </w:pPr>
            <w:r w:rsidRPr="00D60728">
              <w:rPr>
                <w:rFonts w:ascii="Times New Roman" w:hAnsi="Times New Roman"/>
                <w:i/>
                <w:sz w:val="20"/>
                <w:szCs w:val="20"/>
              </w:rPr>
              <w:t>Specifični dodataka (probiotici, kvasci)</w:t>
            </w:r>
          </w:p>
          <w:p w:rsidR="00BA77D2" w:rsidRPr="00D60728" w:rsidRDefault="00BA77D2" w:rsidP="00BF7DCC">
            <w:pPr>
              <w:pStyle w:val="ListParagraph"/>
              <w:spacing w:line="240" w:lineRule="auto"/>
              <w:ind w:left="0"/>
              <w:contextualSpacing w:val="0"/>
              <w:rPr>
                <w:rFonts w:ascii="Times New Roman" w:hAnsi="Times New Roman"/>
                <w:i/>
                <w:sz w:val="20"/>
                <w:szCs w:val="20"/>
              </w:rPr>
            </w:pPr>
          </w:p>
          <w:p w:rsidR="00BA77D2" w:rsidRPr="00D60728" w:rsidRDefault="00BA77D2" w:rsidP="00BF7DCC">
            <w:pPr>
              <w:pStyle w:val="ListParagraph"/>
              <w:spacing w:line="240" w:lineRule="auto"/>
              <w:ind w:left="0"/>
              <w:contextualSpacing w:val="0"/>
              <w:rPr>
                <w:rFonts w:ascii="Times New Roman" w:hAnsi="Times New Roman"/>
                <w:i/>
                <w:sz w:val="20"/>
                <w:szCs w:val="20"/>
              </w:rPr>
            </w:pPr>
            <w:r w:rsidRPr="00D60728">
              <w:rPr>
                <w:rFonts w:ascii="Times New Roman" w:hAnsi="Times New Roman"/>
                <w:i/>
                <w:sz w:val="20"/>
                <w:szCs w:val="20"/>
              </w:rPr>
              <w:t>Istraživački i eksperimentalni rad na pokušalištima s ciljem utvrđivanja učinkovitosti i implementacije podmjera:</w:t>
            </w:r>
          </w:p>
          <w:p w:rsidR="00BA77D2" w:rsidRPr="00D60728" w:rsidRDefault="00BA77D2" w:rsidP="00BF7DCC">
            <w:pPr>
              <w:numPr>
                <w:ilvl w:val="0"/>
                <w:numId w:val="4"/>
              </w:numPr>
              <w:spacing w:line="240" w:lineRule="auto"/>
              <w:rPr>
                <w:rFonts w:ascii="Times New Roman" w:hAnsi="Times New Roman"/>
                <w:i/>
                <w:sz w:val="20"/>
                <w:szCs w:val="20"/>
              </w:rPr>
            </w:pPr>
            <w:r w:rsidRPr="00D60728">
              <w:rPr>
                <w:rFonts w:ascii="Times New Roman" w:hAnsi="Times New Roman"/>
                <w:i/>
                <w:sz w:val="20"/>
                <w:szCs w:val="20"/>
              </w:rPr>
              <w:t xml:space="preserve">povećanja udjela koncentrata u obroku kod preživača  </w:t>
            </w:r>
          </w:p>
          <w:p w:rsidR="00BA77D2" w:rsidRPr="00D60728" w:rsidRDefault="00BA77D2" w:rsidP="00BF7DCC">
            <w:pPr>
              <w:numPr>
                <w:ilvl w:val="0"/>
                <w:numId w:val="4"/>
              </w:numPr>
              <w:spacing w:line="240" w:lineRule="auto"/>
              <w:rPr>
                <w:rFonts w:ascii="Times New Roman" w:hAnsi="Times New Roman"/>
                <w:i/>
                <w:sz w:val="20"/>
                <w:szCs w:val="20"/>
              </w:rPr>
            </w:pPr>
            <w:r w:rsidRPr="00D60728">
              <w:rPr>
                <w:rFonts w:ascii="Times New Roman" w:hAnsi="Times New Roman"/>
                <w:i/>
                <w:sz w:val="20"/>
                <w:szCs w:val="20"/>
              </w:rPr>
              <w:lastRenderedPageBreak/>
              <w:t>dodatak masti u hrani kao izvora energije za životinje)</w:t>
            </w:r>
          </w:p>
          <w:p w:rsidR="00BA77D2" w:rsidRPr="00D60728" w:rsidRDefault="00BA77D2" w:rsidP="00BF7DCC">
            <w:pPr>
              <w:pStyle w:val="ListParagraph"/>
              <w:numPr>
                <w:ilvl w:val="0"/>
                <w:numId w:val="4"/>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košnja krmnih kultura u ranijim razvojnim stadijima,  napasivanje na pašnjacima u ranijim stadijima, davanje prednosti konzerviranju voluminoznih krmiva u odnosu na sušenje</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Projekti za unaprjeđenje sustava za proračun emisije stakleničkih plinova (razvoj nacionalno specifičnih emisijskih faktora i parametara)</w:t>
            </w:r>
          </w:p>
        </w:tc>
      </w:tr>
      <w:tr w:rsidR="00BA77D2" w:rsidRPr="00D60728" w:rsidTr="00A84583">
        <w:trPr>
          <w:trHeight w:val="454"/>
        </w:trPr>
        <w:tc>
          <w:tcPr>
            <w:tcW w:w="2068" w:type="dxa"/>
            <w:vMerge/>
            <w:vAlign w:val="center"/>
            <w:hideMark/>
          </w:tcPr>
          <w:p w:rsidR="00BA77D2" w:rsidRPr="00D60728" w:rsidRDefault="00BA77D2" w:rsidP="00BF7DCC">
            <w:pPr>
              <w:spacing w:line="240" w:lineRule="auto"/>
              <w:rPr>
                <w:rFonts w:ascii="Times New Roman" w:hAnsi="Times New Roman"/>
                <w:sz w:val="20"/>
                <w:szCs w:val="20"/>
              </w:rPr>
            </w:pPr>
          </w:p>
        </w:tc>
        <w:tc>
          <w:tcPr>
            <w:tcW w:w="2039"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462"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A84583">
        <w:trPr>
          <w:trHeight w:val="454"/>
        </w:trPr>
        <w:tc>
          <w:tcPr>
            <w:tcW w:w="2068" w:type="dxa"/>
            <w:vMerge/>
            <w:vAlign w:val="center"/>
            <w:hideMark/>
          </w:tcPr>
          <w:p w:rsidR="00BA77D2" w:rsidRPr="00D60728" w:rsidRDefault="00BA77D2" w:rsidP="00BF7DCC">
            <w:pPr>
              <w:spacing w:line="240" w:lineRule="auto"/>
              <w:rPr>
                <w:rFonts w:ascii="Times New Roman" w:hAnsi="Times New Roman"/>
                <w:sz w:val="20"/>
                <w:szCs w:val="20"/>
              </w:rPr>
            </w:pPr>
          </w:p>
        </w:tc>
        <w:tc>
          <w:tcPr>
            <w:tcW w:w="2039"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462"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Hrvatska poljoprivredna agencija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tc>
      </w:tr>
      <w:tr w:rsidR="00BA77D2" w:rsidRPr="00D60728" w:rsidTr="00A84583">
        <w:trPr>
          <w:trHeight w:val="454"/>
        </w:trPr>
        <w:tc>
          <w:tcPr>
            <w:tcW w:w="2068" w:type="dxa"/>
            <w:vMerge/>
            <w:vAlign w:val="center"/>
            <w:hideMark/>
          </w:tcPr>
          <w:p w:rsidR="00BA77D2" w:rsidRPr="00D60728" w:rsidRDefault="00BA77D2" w:rsidP="00BF7DCC">
            <w:pPr>
              <w:spacing w:line="240" w:lineRule="auto"/>
              <w:rPr>
                <w:rFonts w:ascii="Times New Roman" w:hAnsi="Times New Roman"/>
                <w:sz w:val="20"/>
                <w:szCs w:val="20"/>
              </w:rPr>
            </w:pPr>
          </w:p>
        </w:tc>
        <w:tc>
          <w:tcPr>
            <w:tcW w:w="2039"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462" w:type="dxa"/>
            <w:gridSpan w:val="2"/>
            <w:vAlign w:val="center"/>
          </w:tcPr>
          <w:p w:rsidR="00BA77D2" w:rsidRPr="00D60728" w:rsidRDefault="00BA77D2" w:rsidP="00BF7DCC">
            <w:pPr>
              <w:spacing w:line="240" w:lineRule="auto"/>
              <w:rPr>
                <w:rFonts w:ascii="Times New Roman" w:hAnsi="Times New Roman"/>
                <w:b/>
                <w:bCs/>
                <w:i/>
                <w:color w:val="000000"/>
                <w:sz w:val="20"/>
                <w:szCs w:val="20"/>
              </w:rPr>
            </w:pPr>
            <w:r w:rsidRPr="00D60728">
              <w:rPr>
                <w:rFonts w:ascii="Times New Roman" w:hAnsi="Times New Roman"/>
                <w:b/>
                <w:bCs/>
                <w:i/>
                <w:color w:val="000000"/>
                <w:sz w:val="20"/>
                <w:szCs w:val="20"/>
              </w:rPr>
              <w:t>140.000.000 kn</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A84583">
        <w:trPr>
          <w:trHeight w:val="1382"/>
        </w:trPr>
        <w:tc>
          <w:tcPr>
            <w:tcW w:w="2068"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2039"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907"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555"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Moguće je smanjenje emisije od 16 kt CO</w:t>
            </w:r>
            <w:r w:rsidRPr="00D60728">
              <w:rPr>
                <w:rFonts w:ascii="Times New Roman" w:hAnsi="Times New Roman"/>
                <w:i/>
                <w:iCs/>
                <w:sz w:val="20"/>
                <w:szCs w:val="20"/>
                <w:vertAlign w:val="subscript"/>
              </w:rPr>
              <w:t xml:space="preserve">2 </w:t>
            </w:r>
            <w:r w:rsidRPr="00D60728">
              <w:rPr>
                <w:rFonts w:ascii="Times New Roman" w:hAnsi="Times New Roman"/>
                <w:i/>
                <w:iCs/>
                <w:sz w:val="20"/>
                <w:szCs w:val="20"/>
              </w:rPr>
              <w:t>do 2025. godine u odnosu na referentni scenarij uz dodatne aktivnosti u promjeni režima ishrane</w:t>
            </w:r>
          </w:p>
        </w:tc>
      </w:tr>
      <w:tr w:rsidR="00BA77D2" w:rsidRPr="00D60728" w:rsidTr="00A84583">
        <w:trPr>
          <w:trHeight w:val="454"/>
        </w:trPr>
        <w:tc>
          <w:tcPr>
            <w:tcW w:w="2068" w:type="dxa"/>
            <w:vMerge/>
            <w:vAlign w:val="center"/>
          </w:tcPr>
          <w:p w:rsidR="00BA77D2" w:rsidRPr="00D60728" w:rsidRDefault="00BA77D2" w:rsidP="00BF7DCC">
            <w:pPr>
              <w:spacing w:line="240" w:lineRule="auto"/>
              <w:rPr>
                <w:rFonts w:ascii="Times New Roman" w:hAnsi="Times New Roman"/>
                <w:sz w:val="20"/>
                <w:szCs w:val="20"/>
              </w:rPr>
            </w:pPr>
          </w:p>
        </w:tc>
        <w:tc>
          <w:tcPr>
            <w:tcW w:w="2039" w:type="dxa"/>
            <w:vMerge/>
            <w:vAlign w:val="center"/>
          </w:tcPr>
          <w:p w:rsidR="00BA77D2" w:rsidRPr="00D60728" w:rsidRDefault="00BA77D2" w:rsidP="00BF7DCC">
            <w:pPr>
              <w:spacing w:line="240" w:lineRule="auto"/>
              <w:rPr>
                <w:rFonts w:ascii="Times New Roman" w:hAnsi="Times New Roman"/>
                <w:sz w:val="20"/>
                <w:szCs w:val="20"/>
              </w:rPr>
            </w:pPr>
          </w:p>
        </w:tc>
        <w:tc>
          <w:tcPr>
            <w:tcW w:w="5462"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Poboljšanje konkurentnosti i učinkovitosti stočarske proizvodnje</w:t>
            </w:r>
          </w:p>
        </w:tc>
      </w:tr>
      <w:tr w:rsidR="00BA77D2" w:rsidRPr="00D60728" w:rsidTr="00A84583">
        <w:trPr>
          <w:trHeight w:val="454"/>
        </w:trPr>
        <w:tc>
          <w:tcPr>
            <w:tcW w:w="2068" w:type="dxa"/>
            <w:vMerge/>
            <w:vAlign w:val="center"/>
            <w:hideMark/>
          </w:tcPr>
          <w:p w:rsidR="00BA77D2" w:rsidRPr="00D60728" w:rsidRDefault="00BA77D2" w:rsidP="00BF7DCC">
            <w:pPr>
              <w:spacing w:line="240" w:lineRule="auto"/>
              <w:rPr>
                <w:rFonts w:ascii="Times New Roman" w:hAnsi="Times New Roman"/>
                <w:sz w:val="20"/>
                <w:szCs w:val="20"/>
              </w:rPr>
            </w:pPr>
          </w:p>
        </w:tc>
        <w:tc>
          <w:tcPr>
            <w:tcW w:w="2039"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462"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Analiza stočne hrane</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Analiza organskog gnojiva</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iCs/>
                <w:sz w:val="20"/>
                <w:szCs w:val="20"/>
              </w:rPr>
              <w:t>Rezultati završenih istraživanja i projekata</w:t>
            </w:r>
          </w:p>
        </w:tc>
      </w:tr>
      <w:tr w:rsidR="00BA77D2" w:rsidRPr="00D60728" w:rsidTr="00A84583">
        <w:trPr>
          <w:trHeight w:val="454"/>
        </w:trPr>
        <w:tc>
          <w:tcPr>
            <w:tcW w:w="2068" w:type="dxa"/>
            <w:vMerge/>
            <w:vAlign w:val="center"/>
            <w:hideMark/>
          </w:tcPr>
          <w:p w:rsidR="00BA77D2" w:rsidRPr="00D60728" w:rsidRDefault="00BA77D2" w:rsidP="00BF7DCC">
            <w:pPr>
              <w:spacing w:line="240" w:lineRule="auto"/>
              <w:rPr>
                <w:rFonts w:ascii="Times New Roman" w:hAnsi="Times New Roman"/>
                <w:sz w:val="20"/>
                <w:szCs w:val="20"/>
              </w:rPr>
            </w:pPr>
          </w:p>
        </w:tc>
        <w:tc>
          <w:tcPr>
            <w:tcW w:w="2039"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462" w:type="dxa"/>
            <w:gridSpan w:val="2"/>
            <w:vAlign w:val="center"/>
          </w:tcPr>
          <w:p w:rsidR="00BA77D2" w:rsidRPr="00D60728" w:rsidRDefault="00BA77D2" w:rsidP="00BF7DCC">
            <w:pPr>
              <w:spacing w:line="240" w:lineRule="auto"/>
              <w:rPr>
                <w:rStyle w:val="st"/>
                <w:rFonts w:ascii="Times New Roman" w:hAnsi="Times New Roman"/>
                <w:i/>
                <w:sz w:val="20"/>
                <w:szCs w:val="20"/>
              </w:rPr>
            </w:pPr>
            <w:r w:rsidRPr="00D60728">
              <w:rPr>
                <w:rStyle w:val="st"/>
                <w:rFonts w:ascii="Times New Roman" w:hAnsi="Times New Roman"/>
                <w:i/>
                <w:sz w:val="20"/>
                <w:szCs w:val="20"/>
              </w:rPr>
              <w:t xml:space="preserve">Izvješće o inventaru stakleničkih plinova (National Inventory Report, </w:t>
            </w:r>
            <w:r w:rsidRPr="00D60728">
              <w:rPr>
                <w:rStyle w:val="Emphasis"/>
                <w:rFonts w:ascii="Times New Roman" w:hAnsi="Times New Roman"/>
                <w:i w:val="0"/>
                <w:sz w:val="20"/>
                <w:szCs w:val="20"/>
              </w:rPr>
              <w:t>NIR</w:t>
            </w:r>
            <w:r w:rsidRPr="00D60728">
              <w:rPr>
                <w:rStyle w:val="st"/>
                <w:rFonts w:ascii="Times New Roman" w:hAnsi="Times New Roman"/>
                <w:i/>
                <w:sz w:val="20"/>
                <w:szCs w:val="20"/>
              </w:rPr>
              <w:t>)</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provedbi politika i mjera za smanjenje emisija stakleničkih plinova</w:t>
            </w:r>
          </w:p>
        </w:tc>
      </w:tr>
      <w:tr w:rsidR="00BA77D2" w:rsidRPr="00D60728" w:rsidTr="00A84583">
        <w:trPr>
          <w:trHeight w:val="454"/>
        </w:trPr>
        <w:tc>
          <w:tcPr>
            <w:tcW w:w="410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462"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MAG-2</w:t>
            </w:r>
          </w:p>
        </w:tc>
      </w:tr>
    </w:tbl>
    <w:p w:rsidR="00BA77D2" w:rsidRPr="00D60728" w:rsidRDefault="00BA77D2" w:rsidP="00BF7DCC">
      <w:pPr>
        <w:spacing w:line="240" w:lineRule="auto"/>
        <w:rPr>
          <w:sz w:val="20"/>
          <w:szCs w:val="20"/>
        </w:rPr>
      </w:pPr>
      <w:r w:rsidRPr="00D60728">
        <w:rPr>
          <w:sz w:val="20"/>
          <w:szCs w:val="20"/>
        </w:rPr>
        <w:br w:type="page"/>
      </w:r>
    </w:p>
    <w:tbl>
      <w:tblPr>
        <w:tblStyle w:val="TableGrid"/>
        <w:tblW w:w="5000" w:type="pct"/>
        <w:tblLook w:val="04A0" w:firstRow="1" w:lastRow="0" w:firstColumn="1" w:lastColumn="0" w:noHBand="0" w:noVBand="1"/>
      </w:tblPr>
      <w:tblGrid>
        <w:gridCol w:w="1957"/>
        <w:gridCol w:w="1940"/>
        <w:gridCol w:w="2759"/>
        <w:gridCol w:w="2404"/>
      </w:tblGrid>
      <w:tr w:rsidR="00BA77D2" w:rsidRPr="006D54B7" w:rsidTr="00A84583">
        <w:trPr>
          <w:trHeight w:val="454"/>
        </w:trPr>
        <w:tc>
          <w:tcPr>
            <w:tcW w:w="3897"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rPr>
              <w:lastRenderedPageBreak/>
              <w:br w:type="page"/>
            </w:r>
            <w:r w:rsidRPr="006D54B7">
              <w:rPr>
                <w:rFonts w:ascii="Times New Roman" w:hAnsi="Times New Roman"/>
                <w:b/>
                <w:iCs/>
              </w:rPr>
              <w:t>Naziv mjere</w:t>
            </w:r>
          </w:p>
        </w:tc>
        <w:tc>
          <w:tcPr>
            <w:tcW w:w="5163"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Poboljšanje stočarskih postrojenja i sustava gospodarenja stajskim gnojem</w:t>
            </w:r>
          </w:p>
        </w:tc>
      </w:tr>
      <w:tr w:rsidR="00BA77D2" w:rsidRPr="00D60728" w:rsidTr="00A84583">
        <w:trPr>
          <w:trHeight w:val="454"/>
        </w:trPr>
        <w:tc>
          <w:tcPr>
            <w:tcW w:w="389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MAG-2</w:t>
            </w:r>
          </w:p>
        </w:tc>
      </w:tr>
      <w:tr w:rsidR="00BA77D2" w:rsidRPr="00D60728" w:rsidTr="00A84583">
        <w:trPr>
          <w:trHeight w:val="454"/>
        </w:trPr>
        <w:tc>
          <w:tcPr>
            <w:tcW w:w="1957"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0"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w:t>
            </w:r>
          </w:p>
        </w:tc>
      </w:tr>
      <w:tr w:rsidR="00BA77D2" w:rsidRPr="00D60728" w:rsidTr="00A84583">
        <w:trPr>
          <w:trHeight w:val="454"/>
        </w:trPr>
        <w:tc>
          <w:tcPr>
            <w:tcW w:w="1957"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0"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A84583">
        <w:trPr>
          <w:trHeight w:val="454"/>
        </w:trPr>
        <w:tc>
          <w:tcPr>
            <w:tcW w:w="1957"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0" w:type="dxa"/>
            <w:vMerge/>
            <w:vAlign w:val="center"/>
            <w:hideMark/>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A84583">
        <w:trPr>
          <w:trHeight w:val="454"/>
        </w:trPr>
        <w:tc>
          <w:tcPr>
            <w:tcW w:w="1957"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0"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Smanjenje emisija metana, dušika i amonijaka kroz poboljšanja u prehrani životinja te sustava prikupljanja i skladištenja stajskog gnoja</w:t>
            </w:r>
          </w:p>
        </w:tc>
      </w:tr>
      <w:tr w:rsidR="00BA77D2" w:rsidRPr="00D60728" w:rsidTr="00A84583">
        <w:trPr>
          <w:trHeight w:val="454"/>
        </w:trPr>
        <w:tc>
          <w:tcPr>
            <w:tcW w:w="1957" w:type="dxa"/>
            <w:vMerge/>
            <w:vAlign w:val="center"/>
          </w:tcPr>
          <w:p w:rsidR="00BA77D2" w:rsidRPr="00D60728" w:rsidRDefault="00BA77D2" w:rsidP="00BF7DCC">
            <w:pPr>
              <w:spacing w:line="240" w:lineRule="auto"/>
              <w:rPr>
                <w:rFonts w:ascii="Times New Roman" w:hAnsi="Times New Roman"/>
                <w:sz w:val="20"/>
                <w:szCs w:val="20"/>
              </w:rPr>
            </w:pPr>
          </w:p>
        </w:tc>
        <w:tc>
          <w:tcPr>
            <w:tcW w:w="1940"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Kategorija gospodarenje stajskim gnojivom je izvor emisije dušikovih spojeva, amonijaka i čestica. Do emisije dolazi iz izlučevina životinjskog gnojiva odloženog u i oko nastambi i prikupljene kao tekuća gnojovka, čvrsto gnojivo ili gnojivo u jami na dvorištu</w:t>
            </w:r>
            <w:r w:rsidR="00597B39">
              <w:rPr>
                <w:rFonts w:ascii="Times New Roman" w:hAnsi="Times New Roman"/>
                <w:i/>
                <w:sz w:val="20"/>
                <w:szCs w:val="20"/>
              </w:rPr>
              <w:t>,</w:t>
            </w:r>
            <w:r w:rsidRPr="00D60728">
              <w:rPr>
                <w:rFonts w:ascii="Times New Roman" w:hAnsi="Times New Roman"/>
                <w:i/>
                <w:sz w:val="20"/>
                <w:szCs w:val="20"/>
              </w:rPr>
              <w:t xml:space="preserve"> s tim da se posljednja dva promatraju zajedno kao čvrsta gnojiva. Emisije potječu iz nastambi životinja i iz dvorišnog područja, iz skladišnih prostora i od primjene gnojiva na tlo i tijekom ispaše. U praksi se najčešće primjenjuje više mjera istovremeno, pri čemu postoje različite mjere kojima se može u značajnoj mjeri utjecati na smanjenje emisija kao što su:</w:t>
            </w:r>
          </w:p>
          <w:p w:rsidR="00BA77D2" w:rsidRPr="00D60728" w:rsidRDefault="00BA77D2" w:rsidP="00BF7DCC">
            <w:pPr>
              <w:pStyle w:val="ListParagraph"/>
              <w:numPr>
                <w:ilvl w:val="0"/>
                <w:numId w:val="9"/>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Manipulacija sadržajem hranjiva i njihovim međusobnim odnosom u obroku</w:t>
            </w:r>
          </w:p>
          <w:p w:rsidR="00BA77D2" w:rsidRPr="00D60728" w:rsidRDefault="00BA77D2" w:rsidP="00BF7DCC">
            <w:pPr>
              <w:pStyle w:val="ListParagraph"/>
              <w:numPr>
                <w:ilvl w:val="0"/>
                <w:numId w:val="9"/>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Promjene sustava izgnojavanja (tip gnoja) i poboljšanje objekata za prikupljanje gnoja</w:t>
            </w:r>
          </w:p>
          <w:p w:rsidR="00BA77D2" w:rsidRPr="00D60728" w:rsidRDefault="00BA77D2" w:rsidP="00BF7DCC">
            <w:pPr>
              <w:pStyle w:val="ListParagraph"/>
              <w:numPr>
                <w:ilvl w:val="0"/>
                <w:numId w:val="9"/>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Mjere tijekom skladištenja stajskog gnoja</w:t>
            </w:r>
          </w:p>
          <w:p w:rsidR="00BA77D2" w:rsidRPr="00D60728" w:rsidRDefault="00BA77D2" w:rsidP="00BF7DCC">
            <w:pPr>
              <w:pStyle w:val="ListParagraph"/>
              <w:numPr>
                <w:ilvl w:val="0"/>
                <w:numId w:val="9"/>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Općenite mjere unaprjeđenja</w:t>
            </w:r>
          </w:p>
        </w:tc>
      </w:tr>
      <w:tr w:rsidR="00BA77D2" w:rsidRPr="00D60728" w:rsidTr="00A84583">
        <w:trPr>
          <w:trHeight w:val="454"/>
        </w:trPr>
        <w:tc>
          <w:tcPr>
            <w:tcW w:w="1957"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0"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63"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iCs/>
                <w:sz w:val="20"/>
                <w:szCs w:val="20"/>
              </w:rPr>
              <w:t>Poduzeća sa poljoprivrednom djelatnošću (stočarstvo), Stočarska gospodarstva, Mljekarst</w:t>
            </w:r>
            <w:r w:rsidR="00597B39">
              <w:rPr>
                <w:rFonts w:ascii="Times New Roman" w:hAnsi="Times New Roman"/>
                <w:i/>
                <w:iCs/>
                <w:sz w:val="20"/>
                <w:szCs w:val="20"/>
              </w:rPr>
              <w:t>v</w:t>
            </w:r>
            <w:r w:rsidRPr="00D60728">
              <w:rPr>
                <w:rFonts w:ascii="Times New Roman" w:hAnsi="Times New Roman"/>
                <w:i/>
                <w:iCs/>
                <w:sz w:val="20"/>
                <w:szCs w:val="20"/>
              </w:rPr>
              <w:t xml:space="preserve">o-stočarske zadruge i clusteri, </w:t>
            </w:r>
            <w:r w:rsidRPr="00D60728">
              <w:rPr>
                <w:rFonts w:ascii="Times New Roman" w:hAnsi="Times New Roman"/>
                <w:i/>
                <w:sz w:val="20"/>
                <w:szCs w:val="20"/>
              </w:rPr>
              <w:t>Proizvođači (tvornice) stočne hrane</w:t>
            </w:r>
          </w:p>
        </w:tc>
      </w:tr>
      <w:tr w:rsidR="00BA77D2" w:rsidRPr="00D60728" w:rsidTr="00A84583">
        <w:trPr>
          <w:trHeight w:val="454"/>
        </w:trPr>
        <w:tc>
          <w:tcPr>
            <w:tcW w:w="1957"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0"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63" w:type="dxa"/>
            <w:gridSpan w:val="2"/>
            <w:vAlign w:val="center"/>
          </w:tcPr>
          <w:p w:rsidR="00BA77D2" w:rsidRPr="00D60728" w:rsidRDefault="00BA77D2" w:rsidP="00BF7DCC">
            <w:pPr>
              <w:pStyle w:val="ListParagraph"/>
              <w:spacing w:line="240" w:lineRule="auto"/>
              <w:ind w:left="0"/>
              <w:contextualSpacing w:val="0"/>
              <w:rPr>
                <w:rFonts w:ascii="Times New Roman" w:hAnsi="Times New Roman"/>
                <w:i/>
                <w:sz w:val="20"/>
                <w:szCs w:val="20"/>
              </w:rPr>
            </w:pPr>
            <w:r w:rsidRPr="00D60728">
              <w:rPr>
                <w:rFonts w:ascii="Times New Roman" w:hAnsi="Times New Roman"/>
                <w:i/>
                <w:sz w:val="20"/>
                <w:szCs w:val="20"/>
              </w:rPr>
              <w:t>Izrada razvojnih programa za povećanje udjela implementacije mjera :</w:t>
            </w:r>
          </w:p>
          <w:p w:rsidR="00BA77D2" w:rsidRPr="00D60728" w:rsidRDefault="00BA77D2" w:rsidP="00BF7DCC">
            <w:pPr>
              <w:pStyle w:val="ListParagraph"/>
              <w:spacing w:line="240" w:lineRule="auto"/>
              <w:ind w:left="0"/>
              <w:contextualSpacing w:val="0"/>
              <w:rPr>
                <w:rFonts w:ascii="Times New Roman" w:hAnsi="Times New Roman"/>
                <w:i/>
                <w:sz w:val="20"/>
                <w:szCs w:val="20"/>
              </w:rPr>
            </w:pPr>
          </w:p>
          <w:p w:rsidR="00BA77D2" w:rsidRPr="00D60728" w:rsidRDefault="00BA77D2" w:rsidP="00BF7DCC">
            <w:pPr>
              <w:pStyle w:val="ListParagraph"/>
              <w:numPr>
                <w:ilvl w:val="0"/>
                <w:numId w:val="13"/>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Manipulacija sadržajem hranjiva i njihovim međusobnim odnosom u obroku:</w:t>
            </w:r>
          </w:p>
          <w:p w:rsidR="00BA77D2" w:rsidRPr="00D60728" w:rsidRDefault="00BA77D2" w:rsidP="00BF7DCC">
            <w:pPr>
              <w:pStyle w:val="ListParagraph"/>
              <w:numPr>
                <w:ilvl w:val="0"/>
                <w:numId w:val="8"/>
              </w:numPr>
              <w:spacing w:line="240" w:lineRule="auto"/>
              <w:contextualSpacing w:val="0"/>
              <w:rPr>
                <w:rFonts w:ascii="Times New Roman" w:hAnsi="Times New Roman"/>
                <w:i/>
                <w:sz w:val="20"/>
                <w:szCs w:val="20"/>
              </w:rPr>
            </w:pPr>
            <w:r w:rsidRPr="00D60728">
              <w:rPr>
                <w:rFonts w:ascii="Times New Roman" w:hAnsi="Times New Roman"/>
                <w:i/>
                <w:sz w:val="20"/>
                <w:szCs w:val="20"/>
              </w:rPr>
              <w:t xml:space="preserve">smanjenje sadržaja proteina u obroku </w:t>
            </w:r>
          </w:p>
          <w:p w:rsidR="00BA77D2" w:rsidRPr="00D60728" w:rsidRDefault="00BA77D2" w:rsidP="00BF7DCC">
            <w:pPr>
              <w:pStyle w:val="ListParagraph"/>
              <w:numPr>
                <w:ilvl w:val="0"/>
                <w:numId w:val="8"/>
              </w:numPr>
              <w:spacing w:line="240" w:lineRule="auto"/>
              <w:contextualSpacing w:val="0"/>
              <w:rPr>
                <w:rFonts w:ascii="Times New Roman" w:hAnsi="Times New Roman"/>
                <w:i/>
                <w:sz w:val="20"/>
                <w:szCs w:val="20"/>
              </w:rPr>
            </w:pPr>
            <w:r w:rsidRPr="00D60728">
              <w:rPr>
                <w:rFonts w:ascii="Times New Roman" w:hAnsi="Times New Roman"/>
                <w:i/>
                <w:sz w:val="20"/>
                <w:szCs w:val="20"/>
              </w:rPr>
              <w:t xml:space="preserve">obrok bogat vlaknima </w:t>
            </w:r>
          </w:p>
          <w:p w:rsidR="00BA77D2" w:rsidRPr="00D60728" w:rsidRDefault="00BA77D2" w:rsidP="00BF7DCC">
            <w:pPr>
              <w:pStyle w:val="ListParagraph"/>
              <w:numPr>
                <w:ilvl w:val="0"/>
                <w:numId w:val="8"/>
              </w:numPr>
              <w:spacing w:line="240" w:lineRule="auto"/>
              <w:contextualSpacing w:val="0"/>
              <w:rPr>
                <w:rFonts w:ascii="Times New Roman" w:hAnsi="Times New Roman"/>
                <w:i/>
                <w:sz w:val="20"/>
                <w:szCs w:val="20"/>
              </w:rPr>
            </w:pPr>
            <w:r w:rsidRPr="00D60728">
              <w:rPr>
                <w:rFonts w:ascii="Times New Roman" w:hAnsi="Times New Roman"/>
                <w:i/>
                <w:sz w:val="20"/>
                <w:szCs w:val="20"/>
              </w:rPr>
              <w:t xml:space="preserve">smanjenje intenziteta napasivanja </w:t>
            </w:r>
          </w:p>
          <w:p w:rsidR="00BA77D2" w:rsidRPr="00D60728" w:rsidRDefault="00BA77D2" w:rsidP="00BF7DCC">
            <w:pPr>
              <w:pStyle w:val="ListParagraph"/>
              <w:numPr>
                <w:ilvl w:val="0"/>
                <w:numId w:val="6"/>
              </w:numPr>
              <w:spacing w:line="240" w:lineRule="auto"/>
              <w:ind w:left="0"/>
              <w:contextualSpacing w:val="0"/>
              <w:rPr>
                <w:rFonts w:ascii="Times New Roman" w:hAnsi="Times New Roman"/>
                <w:i/>
                <w:sz w:val="20"/>
                <w:szCs w:val="20"/>
              </w:rPr>
            </w:pPr>
          </w:p>
          <w:p w:rsidR="00BA77D2" w:rsidRPr="00D60728" w:rsidRDefault="00BA77D2" w:rsidP="00BF7DCC">
            <w:pPr>
              <w:pStyle w:val="ListParagraph"/>
              <w:numPr>
                <w:ilvl w:val="0"/>
                <w:numId w:val="13"/>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 xml:space="preserve">Promjene sustava izgnojavanja (tip gnoja) i poboljšanje objekata za prikupljanje gnoja:  </w:t>
            </w:r>
          </w:p>
          <w:p w:rsidR="00BA77D2" w:rsidRPr="00D60728" w:rsidRDefault="00BA77D2" w:rsidP="00BF7DCC">
            <w:pPr>
              <w:pStyle w:val="ListParagraph"/>
              <w:numPr>
                <w:ilvl w:val="0"/>
                <w:numId w:val="7"/>
              </w:numPr>
              <w:spacing w:line="240" w:lineRule="auto"/>
              <w:contextualSpacing w:val="0"/>
              <w:rPr>
                <w:rFonts w:ascii="Times New Roman" w:hAnsi="Times New Roman"/>
                <w:i/>
                <w:sz w:val="20"/>
                <w:szCs w:val="20"/>
              </w:rPr>
            </w:pPr>
            <w:r w:rsidRPr="00D60728">
              <w:rPr>
                <w:rFonts w:ascii="Times New Roman" w:hAnsi="Times New Roman"/>
                <w:i/>
                <w:sz w:val="20"/>
                <w:szCs w:val="20"/>
              </w:rPr>
              <w:t xml:space="preserve">Primjena sustava izgnojavanja kod uzgoja svinja za koje je karakteristično kratko vrijeme od trenutka defekacije ili uriniranja do trenutka uklanjanja fecesa i urina iz objekata </w:t>
            </w:r>
          </w:p>
          <w:p w:rsidR="00BA77D2" w:rsidRPr="00D60728" w:rsidRDefault="00BA77D2" w:rsidP="00BF7DCC">
            <w:pPr>
              <w:pStyle w:val="ListParagraph"/>
              <w:spacing w:line="240" w:lineRule="auto"/>
              <w:ind w:left="0"/>
              <w:contextualSpacing w:val="0"/>
              <w:rPr>
                <w:rFonts w:ascii="Times New Roman" w:hAnsi="Times New Roman"/>
                <w:i/>
                <w:sz w:val="20"/>
                <w:szCs w:val="20"/>
              </w:rPr>
            </w:pPr>
          </w:p>
          <w:p w:rsidR="00BA77D2" w:rsidRPr="00D60728" w:rsidRDefault="00BA77D2" w:rsidP="00BF7DCC">
            <w:pPr>
              <w:pStyle w:val="ListParagraph"/>
              <w:numPr>
                <w:ilvl w:val="0"/>
                <w:numId w:val="13"/>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Mjere tijekom skladištenja stajskog gnoja:</w:t>
            </w:r>
          </w:p>
          <w:p w:rsidR="00BA77D2" w:rsidRPr="00D60728" w:rsidRDefault="00BA77D2" w:rsidP="00BF7DCC">
            <w:pPr>
              <w:pStyle w:val="ListParagraph"/>
              <w:numPr>
                <w:ilvl w:val="0"/>
                <w:numId w:val="7"/>
              </w:numPr>
              <w:spacing w:line="240" w:lineRule="auto"/>
              <w:contextualSpacing w:val="0"/>
              <w:rPr>
                <w:rFonts w:ascii="Times New Roman" w:hAnsi="Times New Roman"/>
                <w:i/>
                <w:sz w:val="20"/>
                <w:szCs w:val="20"/>
              </w:rPr>
            </w:pPr>
            <w:r w:rsidRPr="00D60728">
              <w:rPr>
                <w:rFonts w:ascii="Times New Roman" w:hAnsi="Times New Roman"/>
                <w:i/>
                <w:sz w:val="20"/>
                <w:szCs w:val="20"/>
              </w:rPr>
              <w:t xml:space="preserve">Skraćivanje vremena čuvanja/odlaganja na farmi stajskog gnoja </w:t>
            </w:r>
          </w:p>
          <w:p w:rsidR="00BA77D2" w:rsidRPr="00D60728" w:rsidRDefault="00BA77D2" w:rsidP="00BF7DCC">
            <w:pPr>
              <w:pStyle w:val="ListParagraph"/>
              <w:spacing w:line="240" w:lineRule="auto"/>
              <w:contextualSpacing w:val="0"/>
              <w:rPr>
                <w:rFonts w:ascii="Times New Roman" w:hAnsi="Times New Roman"/>
                <w:i/>
                <w:sz w:val="20"/>
                <w:szCs w:val="20"/>
              </w:rPr>
            </w:pPr>
          </w:p>
          <w:p w:rsidR="00BA77D2" w:rsidRPr="00D60728" w:rsidRDefault="00BA77D2" w:rsidP="00BF7DCC">
            <w:pPr>
              <w:pStyle w:val="ListParagraph"/>
              <w:spacing w:line="240" w:lineRule="auto"/>
              <w:ind w:left="0"/>
              <w:contextualSpacing w:val="0"/>
              <w:rPr>
                <w:rFonts w:ascii="Times New Roman" w:hAnsi="Times New Roman"/>
                <w:i/>
                <w:sz w:val="20"/>
                <w:szCs w:val="20"/>
              </w:rPr>
            </w:pPr>
            <w:r w:rsidRPr="00D60728">
              <w:rPr>
                <w:rFonts w:ascii="Times New Roman" w:hAnsi="Times New Roman"/>
                <w:i/>
                <w:sz w:val="20"/>
                <w:szCs w:val="20"/>
              </w:rPr>
              <w:t>Unaprjeđenja objekata za gospodarenja stajskim gnojem:</w:t>
            </w:r>
          </w:p>
          <w:p w:rsidR="00BA77D2" w:rsidRPr="00D60728" w:rsidRDefault="00BA77D2" w:rsidP="00BF7DCC">
            <w:pPr>
              <w:pStyle w:val="ListParagraph"/>
              <w:numPr>
                <w:ilvl w:val="0"/>
                <w:numId w:val="7"/>
              </w:numPr>
              <w:spacing w:line="240" w:lineRule="auto"/>
              <w:contextualSpacing w:val="0"/>
              <w:rPr>
                <w:rFonts w:ascii="Times New Roman" w:hAnsi="Times New Roman"/>
                <w:i/>
                <w:sz w:val="20"/>
                <w:szCs w:val="20"/>
              </w:rPr>
            </w:pPr>
            <w:r w:rsidRPr="00D60728">
              <w:rPr>
                <w:rFonts w:ascii="Times New Roman" w:hAnsi="Times New Roman"/>
                <w:i/>
                <w:sz w:val="20"/>
                <w:szCs w:val="20"/>
              </w:rPr>
              <w:t xml:space="preserve">Spremnici za stajski gnoj moraju biti vodonepropusni </w:t>
            </w:r>
            <w:r w:rsidR="002A3E94">
              <w:rPr>
                <w:rFonts w:ascii="Times New Roman" w:hAnsi="Times New Roman"/>
                <w:i/>
                <w:sz w:val="20"/>
                <w:szCs w:val="20"/>
              </w:rPr>
              <w:t>i</w:t>
            </w:r>
            <w:r w:rsidRPr="00D60728">
              <w:rPr>
                <w:rFonts w:ascii="Times New Roman" w:hAnsi="Times New Roman"/>
                <w:i/>
                <w:sz w:val="20"/>
                <w:szCs w:val="20"/>
              </w:rPr>
              <w:t xml:space="preserve"> veličinom zadovoljiti prikupljanje stajskog gnoja za šestomjesečno razdoblje. </w:t>
            </w:r>
          </w:p>
          <w:p w:rsidR="00BA77D2" w:rsidRPr="00D60728" w:rsidRDefault="00BA77D2" w:rsidP="00BF7DCC">
            <w:pPr>
              <w:pStyle w:val="ListParagraph"/>
              <w:numPr>
                <w:ilvl w:val="0"/>
                <w:numId w:val="4"/>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Povećanje energetske učinkovitosti nastambi</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lastRenderedPageBreak/>
              <w:t>Projekt unaprjeđenje sustava za proračun emisije stakleničkih plinova (razvoj nacionalno specifičnih emisijskih faktora i parametara)</w:t>
            </w:r>
          </w:p>
        </w:tc>
      </w:tr>
      <w:tr w:rsidR="00BA77D2" w:rsidRPr="00D60728" w:rsidTr="00A84583">
        <w:trPr>
          <w:trHeight w:val="454"/>
        </w:trPr>
        <w:tc>
          <w:tcPr>
            <w:tcW w:w="1957"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0"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A84583">
        <w:trPr>
          <w:trHeight w:val="454"/>
        </w:trPr>
        <w:tc>
          <w:tcPr>
            <w:tcW w:w="1957"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0"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zaštite okoliša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Hrvatska poljoprivredna agencija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tc>
      </w:tr>
      <w:tr w:rsidR="00BA77D2" w:rsidRPr="00D60728" w:rsidTr="00A84583">
        <w:trPr>
          <w:trHeight w:val="454"/>
        </w:trPr>
        <w:tc>
          <w:tcPr>
            <w:tcW w:w="1957"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0"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63" w:type="dxa"/>
            <w:gridSpan w:val="2"/>
            <w:vAlign w:val="center"/>
          </w:tcPr>
          <w:p w:rsidR="00BA77D2" w:rsidRPr="00D60728" w:rsidRDefault="00BA77D2" w:rsidP="00BF7DCC">
            <w:pPr>
              <w:spacing w:line="240" w:lineRule="auto"/>
              <w:rPr>
                <w:rFonts w:ascii="Times New Roman" w:hAnsi="Times New Roman"/>
                <w:b/>
                <w:bCs/>
                <w:i/>
                <w:color w:val="000000"/>
                <w:sz w:val="20"/>
                <w:szCs w:val="20"/>
              </w:rPr>
            </w:pPr>
            <w:r w:rsidRPr="00D60728">
              <w:rPr>
                <w:rFonts w:ascii="Times New Roman" w:hAnsi="Times New Roman"/>
                <w:b/>
                <w:bCs/>
                <w:i/>
                <w:color w:val="000000"/>
                <w:sz w:val="20"/>
                <w:szCs w:val="20"/>
              </w:rPr>
              <w:t>30.000.000 kn</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A84583">
        <w:trPr>
          <w:trHeight w:val="1382"/>
        </w:trPr>
        <w:tc>
          <w:tcPr>
            <w:tcW w:w="1957"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0"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59"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04"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Do 2030: 6 kt CO</w:t>
            </w:r>
            <w:r w:rsidRPr="00D60728">
              <w:rPr>
                <w:rFonts w:ascii="Times New Roman" w:hAnsi="Times New Roman"/>
                <w:i/>
                <w:iCs/>
                <w:sz w:val="20"/>
                <w:szCs w:val="20"/>
                <w:vertAlign w:val="subscript"/>
              </w:rPr>
              <w:t xml:space="preserve">2 </w:t>
            </w:r>
          </w:p>
        </w:tc>
      </w:tr>
      <w:tr w:rsidR="00BA77D2" w:rsidRPr="00D60728" w:rsidTr="00A84583">
        <w:trPr>
          <w:trHeight w:val="454"/>
        </w:trPr>
        <w:tc>
          <w:tcPr>
            <w:tcW w:w="1957" w:type="dxa"/>
            <w:vMerge/>
            <w:vAlign w:val="center"/>
          </w:tcPr>
          <w:p w:rsidR="00BA77D2" w:rsidRPr="00D60728" w:rsidRDefault="00BA77D2" w:rsidP="00BF7DCC">
            <w:pPr>
              <w:spacing w:line="240" w:lineRule="auto"/>
              <w:rPr>
                <w:rFonts w:ascii="Times New Roman" w:hAnsi="Times New Roman"/>
                <w:sz w:val="20"/>
                <w:szCs w:val="20"/>
              </w:rPr>
            </w:pPr>
          </w:p>
        </w:tc>
        <w:tc>
          <w:tcPr>
            <w:tcW w:w="1940" w:type="dxa"/>
            <w:vMerge/>
            <w:vAlign w:val="center"/>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Poboljšanje konkurentnosti i učinkovitosti stočarske proizvodnje</w:t>
            </w:r>
          </w:p>
        </w:tc>
      </w:tr>
      <w:tr w:rsidR="00BA77D2" w:rsidRPr="00D60728" w:rsidTr="00A84583">
        <w:trPr>
          <w:trHeight w:val="454"/>
        </w:trPr>
        <w:tc>
          <w:tcPr>
            <w:tcW w:w="1957"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0"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Analiza stočne hrane</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Analiza organskog gnojiva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Inspekcijski nadzor objekata za gospodarenje stajskim gnojem</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iCs/>
                <w:sz w:val="20"/>
                <w:szCs w:val="20"/>
              </w:rPr>
              <w:t>Rezultati završenih istraživanja i projekata</w:t>
            </w:r>
          </w:p>
        </w:tc>
      </w:tr>
      <w:tr w:rsidR="00BA77D2" w:rsidRPr="00D60728" w:rsidTr="00A84583">
        <w:trPr>
          <w:trHeight w:val="454"/>
        </w:trPr>
        <w:tc>
          <w:tcPr>
            <w:tcW w:w="1957"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0"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63" w:type="dxa"/>
            <w:gridSpan w:val="2"/>
            <w:vAlign w:val="center"/>
          </w:tcPr>
          <w:p w:rsidR="00BA77D2" w:rsidRPr="00D60728" w:rsidRDefault="00BA77D2" w:rsidP="00BF7DCC">
            <w:pPr>
              <w:spacing w:line="240" w:lineRule="auto"/>
              <w:rPr>
                <w:rStyle w:val="st"/>
                <w:rFonts w:ascii="Times New Roman" w:hAnsi="Times New Roman"/>
                <w:i/>
                <w:sz w:val="20"/>
                <w:szCs w:val="20"/>
              </w:rPr>
            </w:pPr>
            <w:r w:rsidRPr="00D60728">
              <w:rPr>
                <w:rStyle w:val="st"/>
                <w:rFonts w:ascii="Times New Roman" w:hAnsi="Times New Roman"/>
                <w:i/>
                <w:sz w:val="20"/>
                <w:szCs w:val="20"/>
              </w:rPr>
              <w:t xml:space="preserve">Izvješće o inventaru stakleničkih plinova (National Inventory Report, </w:t>
            </w:r>
            <w:r w:rsidRPr="00D60728">
              <w:rPr>
                <w:rStyle w:val="Emphasis"/>
                <w:rFonts w:ascii="Times New Roman" w:hAnsi="Times New Roman"/>
                <w:i w:val="0"/>
                <w:sz w:val="20"/>
                <w:szCs w:val="20"/>
              </w:rPr>
              <w:t>NIR</w:t>
            </w:r>
            <w:r w:rsidRPr="00D60728">
              <w:rPr>
                <w:rStyle w:val="st"/>
                <w:rFonts w:ascii="Times New Roman" w:hAnsi="Times New Roman"/>
                <w:i/>
                <w:sz w:val="20"/>
                <w:szCs w:val="20"/>
              </w:rPr>
              <w:t>)</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provedbi politika i mjera za smanjenje emisija stakleničkih plinova</w:t>
            </w:r>
          </w:p>
        </w:tc>
      </w:tr>
      <w:tr w:rsidR="00BA77D2" w:rsidRPr="00D60728" w:rsidTr="00A84583">
        <w:trPr>
          <w:trHeight w:val="454"/>
        </w:trPr>
        <w:tc>
          <w:tcPr>
            <w:tcW w:w="389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MAG-1</w:t>
            </w:r>
          </w:p>
        </w:tc>
      </w:tr>
    </w:tbl>
    <w:p w:rsidR="00BA77D2" w:rsidRPr="00D60728" w:rsidRDefault="00BA77D2" w:rsidP="00BF7DCC">
      <w:pPr>
        <w:spacing w:line="240" w:lineRule="auto"/>
        <w:rPr>
          <w:sz w:val="20"/>
          <w:szCs w:val="20"/>
        </w:rPr>
      </w:pPr>
    </w:p>
    <w:p w:rsidR="00BA77D2" w:rsidRPr="00D60728" w:rsidRDefault="00BA77D2" w:rsidP="00BF7DCC">
      <w:pPr>
        <w:spacing w:line="240" w:lineRule="auto"/>
        <w:rPr>
          <w:sz w:val="20"/>
          <w:szCs w:val="20"/>
        </w:rPr>
      </w:pPr>
    </w:p>
    <w:tbl>
      <w:tblPr>
        <w:tblStyle w:val="TableGrid"/>
        <w:tblW w:w="5000" w:type="pct"/>
        <w:tblLook w:val="04A0" w:firstRow="1" w:lastRow="0" w:firstColumn="1" w:lastColumn="0" w:noHBand="0" w:noVBand="1"/>
      </w:tblPr>
      <w:tblGrid>
        <w:gridCol w:w="1959"/>
        <w:gridCol w:w="1943"/>
        <w:gridCol w:w="2742"/>
        <w:gridCol w:w="2416"/>
      </w:tblGrid>
      <w:tr w:rsidR="00BA77D2" w:rsidRPr="006D54B7" w:rsidTr="00A84583">
        <w:trPr>
          <w:trHeight w:val="454"/>
        </w:trPr>
        <w:tc>
          <w:tcPr>
            <w:tcW w:w="3902"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t>Naziv mjere</w:t>
            </w:r>
          </w:p>
        </w:tc>
        <w:tc>
          <w:tcPr>
            <w:tcW w:w="5158"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Izmjena sustava uzgoja stoke</w:t>
            </w:r>
          </w:p>
        </w:tc>
      </w:tr>
      <w:tr w:rsidR="00BA77D2" w:rsidRPr="00D60728" w:rsidTr="00A84583">
        <w:trPr>
          <w:trHeight w:val="454"/>
        </w:trPr>
        <w:tc>
          <w:tcPr>
            <w:tcW w:w="3902"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58"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MAG-3</w:t>
            </w:r>
          </w:p>
        </w:tc>
      </w:tr>
      <w:tr w:rsidR="00BA77D2" w:rsidRPr="00D60728" w:rsidTr="00A84583">
        <w:trPr>
          <w:trHeight w:val="454"/>
        </w:trPr>
        <w:tc>
          <w:tcPr>
            <w:tcW w:w="1959"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58"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 ekonomska</w:t>
            </w:r>
          </w:p>
        </w:tc>
      </w:tr>
      <w:tr w:rsidR="00BA77D2" w:rsidRPr="00D60728" w:rsidTr="00A84583">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58"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A84583">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Merge/>
            <w:vAlign w:val="center"/>
            <w:hideMark/>
          </w:tcPr>
          <w:p w:rsidR="00BA77D2" w:rsidRPr="00D60728" w:rsidRDefault="00BA77D2" w:rsidP="00BF7DCC">
            <w:pPr>
              <w:spacing w:line="240" w:lineRule="auto"/>
              <w:rPr>
                <w:rFonts w:ascii="Times New Roman" w:hAnsi="Times New Roman"/>
                <w:sz w:val="20"/>
                <w:szCs w:val="20"/>
              </w:rPr>
            </w:pPr>
          </w:p>
        </w:tc>
        <w:tc>
          <w:tcPr>
            <w:tcW w:w="5158"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A84583">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Neizravno smanjenje emisije metana i didušikovog oksida kroz povećanje udjela goveda u sustavu „krava-tele“</w:t>
            </w:r>
          </w:p>
        </w:tc>
      </w:tr>
      <w:tr w:rsidR="00BA77D2" w:rsidRPr="00D60728" w:rsidTr="00A84583">
        <w:trPr>
          <w:trHeight w:val="454"/>
        </w:trPr>
        <w:tc>
          <w:tcPr>
            <w:tcW w:w="1959" w:type="dxa"/>
            <w:vMerge/>
            <w:vAlign w:val="center"/>
          </w:tcPr>
          <w:p w:rsidR="00BA77D2" w:rsidRPr="00D60728" w:rsidRDefault="00BA77D2" w:rsidP="00BF7DCC">
            <w:pPr>
              <w:spacing w:line="240" w:lineRule="auto"/>
              <w:rPr>
                <w:rFonts w:ascii="Times New Roman" w:hAnsi="Times New Roman"/>
                <w:sz w:val="20"/>
                <w:szCs w:val="20"/>
              </w:rPr>
            </w:pPr>
          </w:p>
        </w:tc>
        <w:tc>
          <w:tcPr>
            <w:tcW w:w="1943"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58"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 xml:space="preserve">Mjere kojima se postižu neizravni učinci na smanjenje emisije stakleničkih plinova odnose se na mjere kojima se povećava intenzitet proizvodnje (veća količina animalnih proizvoda – mlijeko, meso, jaja i dr., po životinji i u jedinici vremena), a time i neizravno utječe na emisiju u procesu crijevne fermentacije ili iz stajskog gnoja. Njihov učinak uvelike ovisi o sustavu uzgoja (tehnologije) stoke. </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Potrebno je napomenuti da pašnjački uzgoj goveda za posljedicu ima pojačanu emisija N</w:t>
            </w:r>
            <w:r w:rsidR="00D3656D" w:rsidRPr="004E4FCD">
              <w:rPr>
                <w:i/>
                <w:sz w:val="20"/>
                <w:szCs w:val="20"/>
                <w:vertAlign w:val="subscript"/>
              </w:rPr>
              <w:t>2</w:t>
            </w:r>
            <w:r w:rsidRPr="00D60728">
              <w:rPr>
                <w:rFonts w:ascii="Times New Roman" w:hAnsi="Times New Roman"/>
                <w:i/>
                <w:sz w:val="20"/>
                <w:szCs w:val="20"/>
              </w:rPr>
              <w:t xml:space="preserve">O u odnosu na ostale načine uzgoja, stoga bi svako povećavanje udjela goveda u pašnjačkom uzgoju moralo biti popraćeno pojačanim aktivnostima putem ostalih mjera ili u samom broju stočnog fonda. </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 xml:space="preserve">U Hrvatskoj su problem neiskorišteni pašnjaci i livade pod kojima je velika površina poljoprivrednog zemljišta. Kako bi </w:t>
            </w:r>
            <w:r w:rsidRPr="00D60728">
              <w:rPr>
                <w:rFonts w:ascii="Times New Roman" w:hAnsi="Times New Roman"/>
                <w:i/>
                <w:sz w:val="20"/>
                <w:szCs w:val="20"/>
              </w:rPr>
              <w:lastRenderedPageBreak/>
              <w:t xml:space="preserve">se smanjili troškovi, ekstenzivni tov na pašnjacima postaje sve važniji. Brojne varijable su uključene u određivanje broja životinja (uvjetnih grla/ha) koje mogu biti na pašnjaku, a da pri tome ne uzrokuju oštećenje prirodnih resursa: tlo, klima, sklop biljaka, vrsta i dob stoke, dostupnost vode, osjetljiva područja (prevelik nagib, ugrožene vrste, močvare i sl.), opće stanje tla i vrsta stočarske proizvodnje. </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Obzirom na uvoz velikog broja teladi za tov ili utovljene junadi i mesa, uspostava sustav krava-tele se nameće kao logično rješenje i izvor teladi koja se kasnije može ili dotovljavati na istim gospodarstvima (pašni tov) ili toviti u specijaliziranim tovilištima.</w:t>
            </w:r>
          </w:p>
        </w:tc>
      </w:tr>
      <w:tr w:rsidR="00BA77D2" w:rsidRPr="00D60728" w:rsidTr="00A84583">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58"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iCs/>
                <w:sz w:val="20"/>
                <w:szCs w:val="20"/>
              </w:rPr>
              <w:t>Poduzeća sa poljoprivrednom djelatnošću (stočarstvo), Stočarska gospodarstva, Mljekarst</w:t>
            </w:r>
            <w:r w:rsidR="00D3656D">
              <w:rPr>
                <w:rFonts w:ascii="Times New Roman" w:hAnsi="Times New Roman"/>
                <w:i/>
                <w:iCs/>
                <w:sz w:val="20"/>
                <w:szCs w:val="20"/>
              </w:rPr>
              <w:t>v</w:t>
            </w:r>
            <w:r w:rsidRPr="00D60728">
              <w:rPr>
                <w:rFonts w:ascii="Times New Roman" w:hAnsi="Times New Roman"/>
                <w:i/>
                <w:iCs/>
                <w:sz w:val="20"/>
                <w:szCs w:val="20"/>
              </w:rPr>
              <w:t>o-stočarske zadruge i clusteri</w:t>
            </w:r>
          </w:p>
        </w:tc>
      </w:tr>
      <w:tr w:rsidR="00BA77D2" w:rsidRPr="00D60728" w:rsidTr="00A84583">
        <w:trPr>
          <w:trHeight w:val="454"/>
        </w:trPr>
        <w:tc>
          <w:tcPr>
            <w:tcW w:w="1959"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58" w:type="dxa"/>
            <w:gridSpan w:val="2"/>
            <w:vAlign w:val="center"/>
          </w:tcPr>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Rad na uspostavi i poticanju uzgojnog sustava krava-tele</w:t>
            </w:r>
          </w:p>
        </w:tc>
      </w:tr>
      <w:tr w:rsidR="00BA77D2" w:rsidRPr="00D60728" w:rsidTr="00A84583">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A84583">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Hrvatska poljoprivredna agencija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tc>
      </w:tr>
      <w:tr w:rsidR="00BA77D2" w:rsidRPr="00D60728" w:rsidTr="00A84583">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A84583">
        <w:trPr>
          <w:trHeight w:val="1382"/>
        </w:trPr>
        <w:tc>
          <w:tcPr>
            <w:tcW w:w="1959"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3"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42"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16"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je uključeno u referentni scenarij</w:t>
            </w:r>
          </w:p>
        </w:tc>
      </w:tr>
      <w:tr w:rsidR="00BA77D2" w:rsidRPr="00D60728" w:rsidTr="00A84583">
        <w:trPr>
          <w:trHeight w:val="340"/>
        </w:trPr>
        <w:tc>
          <w:tcPr>
            <w:tcW w:w="1959" w:type="dxa"/>
            <w:vMerge/>
            <w:vAlign w:val="center"/>
          </w:tcPr>
          <w:p w:rsidR="00BA77D2" w:rsidRPr="00D60728" w:rsidRDefault="00BA77D2" w:rsidP="00BF7DCC">
            <w:pPr>
              <w:spacing w:line="240" w:lineRule="auto"/>
              <w:rPr>
                <w:rFonts w:ascii="Times New Roman" w:hAnsi="Times New Roman"/>
                <w:sz w:val="20"/>
                <w:szCs w:val="20"/>
              </w:rPr>
            </w:pPr>
          </w:p>
        </w:tc>
        <w:tc>
          <w:tcPr>
            <w:tcW w:w="1943" w:type="dxa"/>
            <w:vMerge/>
            <w:vAlign w:val="center"/>
          </w:tcPr>
          <w:p w:rsidR="00BA77D2" w:rsidRPr="00D60728" w:rsidRDefault="00BA77D2" w:rsidP="00BF7DCC">
            <w:pPr>
              <w:spacing w:line="240" w:lineRule="auto"/>
              <w:rPr>
                <w:rFonts w:ascii="Times New Roman" w:hAnsi="Times New Roman"/>
                <w:sz w:val="20"/>
                <w:szCs w:val="20"/>
              </w:rPr>
            </w:pPr>
          </w:p>
        </w:tc>
        <w:tc>
          <w:tcPr>
            <w:tcW w:w="5158"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Poboljšanje konkurentnosti i učinkovitosti stočarske proizvodnje</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 xml:space="preserve">Korištenje zapuštenih travnjačkih resursa Hrvatske </w:t>
            </w:r>
          </w:p>
          <w:p w:rsidR="00BA77D2" w:rsidRPr="00D60728" w:rsidRDefault="00BA77D2" w:rsidP="00BF7DCC">
            <w:pPr>
              <w:shd w:val="clear" w:color="auto" w:fill="FFFFFF"/>
              <w:spacing w:line="240" w:lineRule="auto"/>
              <w:rPr>
                <w:rFonts w:ascii="Times New Roman" w:hAnsi="Times New Roman"/>
                <w:i/>
                <w:iCs/>
                <w:sz w:val="20"/>
                <w:szCs w:val="20"/>
              </w:rPr>
            </w:pPr>
            <w:r w:rsidRPr="00D60728">
              <w:rPr>
                <w:rFonts w:ascii="Times New Roman" w:hAnsi="Times New Roman"/>
                <w:i/>
                <w:sz w:val="20"/>
                <w:szCs w:val="20"/>
              </w:rPr>
              <w:t xml:space="preserve">Demografski interes zadržavanja stanovnika poticanjem proizvodnje na ruralnim područjima </w:t>
            </w:r>
          </w:p>
        </w:tc>
      </w:tr>
      <w:tr w:rsidR="00BA77D2" w:rsidRPr="00D60728" w:rsidTr="00A84583">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Popis poljoprivrede</w:t>
            </w:r>
          </w:p>
        </w:tc>
      </w:tr>
      <w:tr w:rsidR="00BA77D2" w:rsidRPr="00D60728" w:rsidTr="00A84583">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provedbi politika i mjera za smanjenje emisija stakleničkih plinova</w:t>
            </w:r>
          </w:p>
          <w:p w:rsidR="00BA77D2" w:rsidRPr="00D60728" w:rsidRDefault="00BA77D2" w:rsidP="00BF7DCC">
            <w:pPr>
              <w:spacing w:line="240" w:lineRule="auto"/>
              <w:rPr>
                <w:rFonts w:ascii="Times New Roman" w:hAnsi="Times New Roman"/>
                <w:i/>
                <w:iCs/>
                <w:sz w:val="20"/>
                <w:szCs w:val="20"/>
              </w:rPr>
            </w:pPr>
          </w:p>
        </w:tc>
      </w:tr>
      <w:tr w:rsidR="00BA77D2" w:rsidRPr="00D60728" w:rsidTr="00A84583">
        <w:trPr>
          <w:trHeight w:val="454"/>
        </w:trPr>
        <w:tc>
          <w:tcPr>
            <w:tcW w:w="3902"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p>
        </w:tc>
      </w:tr>
    </w:tbl>
    <w:p w:rsidR="00BA77D2" w:rsidRPr="00D60728" w:rsidRDefault="00BA77D2" w:rsidP="00BF7DCC">
      <w:pPr>
        <w:spacing w:line="240" w:lineRule="auto"/>
        <w:rPr>
          <w:sz w:val="20"/>
          <w:szCs w:val="20"/>
        </w:rPr>
      </w:pPr>
    </w:p>
    <w:p w:rsidR="00BA77D2" w:rsidRPr="00D60728" w:rsidRDefault="00BA77D2" w:rsidP="00BF7DCC">
      <w:pPr>
        <w:spacing w:line="240" w:lineRule="auto"/>
        <w:rPr>
          <w:sz w:val="20"/>
          <w:szCs w:val="20"/>
        </w:rPr>
      </w:pPr>
      <w:r w:rsidRPr="00D60728">
        <w:rPr>
          <w:sz w:val="20"/>
          <w:szCs w:val="20"/>
        </w:rPr>
        <w:br w:type="page"/>
      </w:r>
    </w:p>
    <w:tbl>
      <w:tblPr>
        <w:tblStyle w:val="TableGrid"/>
        <w:tblW w:w="5000" w:type="pct"/>
        <w:tblLook w:val="04A0" w:firstRow="1" w:lastRow="0" w:firstColumn="1" w:lastColumn="0" w:noHBand="0" w:noVBand="1"/>
      </w:tblPr>
      <w:tblGrid>
        <w:gridCol w:w="1962"/>
        <w:gridCol w:w="1944"/>
        <w:gridCol w:w="2758"/>
        <w:gridCol w:w="2396"/>
      </w:tblGrid>
      <w:tr w:rsidR="00BA77D2" w:rsidRPr="006D54B7" w:rsidTr="00A84583">
        <w:trPr>
          <w:trHeight w:val="454"/>
        </w:trPr>
        <w:tc>
          <w:tcPr>
            <w:tcW w:w="3906"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lastRenderedPageBreak/>
              <w:t>Naziv mjere</w:t>
            </w:r>
          </w:p>
        </w:tc>
        <w:tc>
          <w:tcPr>
            <w:tcW w:w="5154"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Anaerobna razgradnja stajskog gnoja i proizvodnja bioplina</w:t>
            </w:r>
          </w:p>
        </w:tc>
      </w:tr>
      <w:tr w:rsidR="00BA77D2" w:rsidRPr="00D60728" w:rsidTr="00A84583">
        <w:trPr>
          <w:trHeight w:val="454"/>
        </w:trPr>
        <w:tc>
          <w:tcPr>
            <w:tcW w:w="3906"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54"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MAG-4</w:t>
            </w:r>
          </w:p>
        </w:tc>
      </w:tr>
      <w:tr w:rsidR="00BA77D2" w:rsidRPr="00D60728" w:rsidTr="00A84583">
        <w:trPr>
          <w:trHeight w:val="454"/>
        </w:trPr>
        <w:tc>
          <w:tcPr>
            <w:tcW w:w="1962"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4"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54"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ekonomska, regulatorna</w:t>
            </w:r>
          </w:p>
        </w:tc>
      </w:tr>
      <w:tr w:rsidR="00BA77D2" w:rsidRPr="00D60728" w:rsidTr="00A84583">
        <w:trPr>
          <w:trHeight w:val="454"/>
        </w:trPr>
        <w:tc>
          <w:tcPr>
            <w:tcW w:w="1962"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4"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54"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A84583">
        <w:trPr>
          <w:trHeight w:val="454"/>
        </w:trPr>
        <w:tc>
          <w:tcPr>
            <w:tcW w:w="1962"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4" w:type="dxa"/>
            <w:vMerge/>
            <w:vAlign w:val="center"/>
            <w:hideMark/>
          </w:tcPr>
          <w:p w:rsidR="00BA77D2" w:rsidRPr="00D60728" w:rsidRDefault="00BA77D2" w:rsidP="00BF7DCC">
            <w:pPr>
              <w:spacing w:line="240" w:lineRule="auto"/>
              <w:rPr>
                <w:rFonts w:ascii="Times New Roman" w:hAnsi="Times New Roman"/>
                <w:sz w:val="20"/>
                <w:szCs w:val="20"/>
              </w:rPr>
            </w:pPr>
          </w:p>
        </w:tc>
        <w:tc>
          <w:tcPr>
            <w:tcW w:w="5154"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A84583">
        <w:trPr>
          <w:trHeight w:val="454"/>
        </w:trPr>
        <w:tc>
          <w:tcPr>
            <w:tcW w:w="1962"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4"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54"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Smanjenje emisije metana iz sustava gospodarenja stajskim gnojem za goveda i svinje povećanjem udjela bioplinskih postrojenja</w:t>
            </w:r>
          </w:p>
        </w:tc>
      </w:tr>
      <w:tr w:rsidR="00BA77D2" w:rsidRPr="00D60728" w:rsidTr="00A84583">
        <w:trPr>
          <w:trHeight w:val="454"/>
        </w:trPr>
        <w:tc>
          <w:tcPr>
            <w:tcW w:w="1962" w:type="dxa"/>
            <w:vMerge/>
            <w:vAlign w:val="center"/>
          </w:tcPr>
          <w:p w:rsidR="00BA77D2" w:rsidRPr="00D60728" w:rsidRDefault="00BA77D2" w:rsidP="00BF7DCC">
            <w:pPr>
              <w:spacing w:line="240" w:lineRule="auto"/>
              <w:rPr>
                <w:rFonts w:ascii="Times New Roman" w:hAnsi="Times New Roman"/>
                <w:sz w:val="20"/>
                <w:szCs w:val="20"/>
              </w:rPr>
            </w:pPr>
          </w:p>
        </w:tc>
        <w:tc>
          <w:tcPr>
            <w:tcW w:w="1944"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54" w:type="dxa"/>
            <w:gridSpan w:val="2"/>
            <w:vAlign w:val="center"/>
          </w:tcPr>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Uvođenjem bioplinskih postrojenja ostvaruje se smanjenje emisije CO</w:t>
            </w:r>
            <w:r w:rsidRPr="004E4FCD">
              <w:rPr>
                <w:i/>
                <w:sz w:val="20"/>
                <w:szCs w:val="20"/>
                <w:vertAlign w:val="subscript"/>
              </w:rPr>
              <w:t>2</w:t>
            </w:r>
            <w:r w:rsidRPr="00D60728">
              <w:rPr>
                <w:rFonts w:ascii="Times New Roman" w:hAnsi="Times New Roman"/>
                <w:i/>
                <w:sz w:val="20"/>
                <w:szCs w:val="20"/>
              </w:rPr>
              <w:t xml:space="preserve"> koje proizlazi iz eliminacije emisije metana zbog odlaganja iskorištene stelje i zbog električne energije iz obnovljivog izvora. Emisija stakleničkih plinova iz prijevoza ne iznosi veliku razliku s obzirom na male udaljenosti koje se  prelaze do postrojenja ili odlagališta.</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Bioplinsko postrojenje dijeli se na dva djela. Jedan je digestor u kojem se procesom anaerobne digestije stvara bioplin (plin koji se dobiva razgradnjom organske tvari u anaerobnim uvjetima</w:t>
            </w:r>
            <w:r w:rsidR="00D3656D">
              <w:rPr>
                <w:rFonts w:ascii="Times New Roman" w:hAnsi="Times New Roman"/>
                <w:i/>
                <w:sz w:val="20"/>
                <w:szCs w:val="20"/>
              </w:rPr>
              <w:t>,</w:t>
            </w:r>
            <w:r w:rsidRPr="00D60728">
              <w:rPr>
                <w:rFonts w:ascii="Times New Roman" w:hAnsi="Times New Roman"/>
                <w:i/>
                <w:sz w:val="20"/>
                <w:szCs w:val="20"/>
              </w:rPr>
              <w:t xml:space="preserve">) a drugi je agregat gdje se taj bioplin pretvara u električnu energiju. Digestor nosi najviše investicijske troškove kod bioplinskog postrojenja a nosi i pogonske troškove koji proizlaze iz potrošnje energije za grijanje digestora i vode. </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Glavni mehanizam za poticanje primjene bioplina za proizvodnju električne energije i poticanje izgradnje kogeneracijskih bioplinskih postrojenja su poticajne cijene (tarife) koje ovise o instaliranoj električnoj snazi postrojenja. Česta klasifikacija bioplinskih postrojenja je na velika bioplinska postrojenja, kodigestijska te farmska. Za male farme ovo je skup proces pa bi osnova mogla biti udruženja farmera u cilju smanjenja troškova instalacije postrojenja.</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Osim što se anaerobnom razgradnjom u bioplinskim postrojenjima smanjuje izvor lako razgradivog ugljika u stajskom gnoju koji se primjenjuje na poljoprivredne površine, potencijalno se smanjuje i proces nitrifikacije te emisija N</w:t>
            </w:r>
            <w:r w:rsidRPr="004E4FCD">
              <w:rPr>
                <w:i/>
                <w:sz w:val="20"/>
                <w:szCs w:val="20"/>
                <w:vertAlign w:val="subscript"/>
              </w:rPr>
              <w:t>2</w:t>
            </w:r>
            <w:r w:rsidRPr="00D60728">
              <w:rPr>
                <w:rFonts w:ascii="Times New Roman" w:hAnsi="Times New Roman"/>
                <w:i/>
                <w:sz w:val="20"/>
                <w:szCs w:val="20"/>
              </w:rPr>
              <w:t xml:space="preserve">O. </w:t>
            </w:r>
          </w:p>
        </w:tc>
      </w:tr>
      <w:tr w:rsidR="00BA77D2" w:rsidRPr="00D60728" w:rsidTr="00A84583">
        <w:trPr>
          <w:trHeight w:val="454"/>
        </w:trPr>
        <w:tc>
          <w:tcPr>
            <w:tcW w:w="1962"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4"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54"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iCs/>
                <w:sz w:val="20"/>
                <w:szCs w:val="20"/>
              </w:rPr>
              <w:t>Poduzeća sa poljoprivrednom djelatnošću (stočarstvo), Mljekarsto-stočarske zadruge i clusteri</w:t>
            </w:r>
          </w:p>
        </w:tc>
      </w:tr>
      <w:tr w:rsidR="00BA77D2" w:rsidRPr="00D60728" w:rsidTr="00A84583">
        <w:trPr>
          <w:trHeight w:val="454"/>
        </w:trPr>
        <w:tc>
          <w:tcPr>
            <w:tcW w:w="1962"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4"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54" w:type="dxa"/>
            <w:gridSpan w:val="2"/>
            <w:vAlign w:val="center"/>
          </w:tcPr>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Udruženja farmera u cilju smanjenja troškova instalacije bioplinskih postrojenja</w:t>
            </w:r>
          </w:p>
        </w:tc>
      </w:tr>
      <w:tr w:rsidR="00BA77D2" w:rsidRPr="00D60728" w:rsidTr="00A84583">
        <w:trPr>
          <w:trHeight w:val="454"/>
        </w:trPr>
        <w:tc>
          <w:tcPr>
            <w:tcW w:w="1962"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4"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54"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A84583">
        <w:trPr>
          <w:trHeight w:val="454"/>
        </w:trPr>
        <w:tc>
          <w:tcPr>
            <w:tcW w:w="1962"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4"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54"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Hrvatska poljoprivredna agencija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tc>
      </w:tr>
      <w:tr w:rsidR="00BA77D2" w:rsidRPr="00D60728" w:rsidTr="00A84583">
        <w:trPr>
          <w:trHeight w:val="454"/>
        </w:trPr>
        <w:tc>
          <w:tcPr>
            <w:tcW w:w="1962"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4"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54"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A84583">
        <w:trPr>
          <w:trHeight w:val="1382"/>
        </w:trPr>
        <w:tc>
          <w:tcPr>
            <w:tcW w:w="1962"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4"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58"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396"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Do 2030: 50</w:t>
            </w:r>
          </w:p>
        </w:tc>
      </w:tr>
      <w:tr w:rsidR="00BA77D2" w:rsidRPr="00D60728" w:rsidTr="00A84583">
        <w:trPr>
          <w:trHeight w:val="454"/>
        </w:trPr>
        <w:tc>
          <w:tcPr>
            <w:tcW w:w="1962" w:type="dxa"/>
            <w:vMerge/>
            <w:vAlign w:val="center"/>
          </w:tcPr>
          <w:p w:rsidR="00BA77D2" w:rsidRPr="00D60728" w:rsidRDefault="00BA77D2" w:rsidP="00BF7DCC">
            <w:pPr>
              <w:spacing w:line="240" w:lineRule="auto"/>
              <w:rPr>
                <w:rFonts w:ascii="Times New Roman" w:hAnsi="Times New Roman"/>
                <w:sz w:val="20"/>
                <w:szCs w:val="20"/>
              </w:rPr>
            </w:pPr>
          </w:p>
        </w:tc>
        <w:tc>
          <w:tcPr>
            <w:tcW w:w="1944" w:type="dxa"/>
            <w:vMerge/>
            <w:vAlign w:val="center"/>
          </w:tcPr>
          <w:p w:rsidR="00BA77D2" w:rsidRPr="00D60728" w:rsidRDefault="00BA77D2" w:rsidP="00BF7DCC">
            <w:pPr>
              <w:spacing w:line="240" w:lineRule="auto"/>
              <w:rPr>
                <w:rFonts w:ascii="Times New Roman" w:hAnsi="Times New Roman"/>
                <w:sz w:val="20"/>
                <w:szCs w:val="20"/>
              </w:rPr>
            </w:pPr>
          </w:p>
        </w:tc>
        <w:tc>
          <w:tcPr>
            <w:tcW w:w="5154"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Dodatne koristi:</w:t>
            </w:r>
          </w:p>
          <w:p w:rsidR="00BA77D2" w:rsidRPr="00D60728" w:rsidRDefault="00BA77D2" w:rsidP="00BF7DCC">
            <w:pPr>
              <w:pStyle w:val="ListParagraph"/>
              <w:numPr>
                <w:ilvl w:val="0"/>
                <w:numId w:val="10"/>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proizvodnja električne energije</w:t>
            </w:r>
          </w:p>
          <w:p w:rsidR="00BA77D2" w:rsidRPr="00D60728" w:rsidRDefault="00BA77D2" w:rsidP="00BF7DCC">
            <w:pPr>
              <w:numPr>
                <w:ilvl w:val="0"/>
                <w:numId w:val="10"/>
              </w:numPr>
              <w:spacing w:line="240" w:lineRule="auto"/>
              <w:jc w:val="left"/>
              <w:rPr>
                <w:rFonts w:ascii="Times New Roman" w:hAnsi="Times New Roman"/>
                <w:i/>
                <w:sz w:val="20"/>
                <w:szCs w:val="20"/>
              </w:rPr>
            </w:pPr>
            <w:r w:rsidRPr="00D60728">
              <w:rPr>
                <w:rFonts w:ascii="Times New Roman" w:hAnsi="Times New Roman"/>
                <w:i/>
                <w:sz w:val="20"/>
                <w:szCs w:val="20"/>
              </w:rPr>
              <w:t>proizvodnja toplinske energije</w:t>
            </w:r>
          </w:p>
          <w:p w:rsidR="00BA77D2" w:rsidRPr="00D60728" w:rsidRDefault="00BA77D2" w:rsidP="00BF7DCC">
            <w:pPr>
              <w:numPr>
                <w:ilvl w:val="0"/>
                <w:numId w:val="10"/>
              </w:numPr>
              <w:spacing w:line="240" w:lineRule="auto"/>
              <w:jc w:val="left"/>
              <w:rPr>
                <w:rFonts w:ascii="Times New Roman" w:hAnsi="Times New Roman"/>
                <w:i/>
                <w:sz w:val="20"/>
                <w:szCs w:val="20"/>
              </w:rPr>
            </w:pPr>
            <w:r w:rsidRPr="00D60728">
              <w:rPr>
                <w:rFonts w:ascii="Times New Roman" w:hAnsi="Times New Roman"/>
                <w:i/>
                <w:sz w:val="20"/>
                <w:szCs w:val="20"/>
              </w:rPr>
              <w:lastRenderedPageBreak/>
              <w:t>upotreba digestata kao gnojiva ili energenta</w:t>
            </w:r>
          </w:p>
        </w:tc>
      </w:tr>
      <w:tr w:rsidR="00BA77D2" w:rsidRPr="00D60728" w:rsidTr="00A84583">
        <w:trPr>
          <w:trHeight w:val="454"/>
        </w:trPr>
        <w:tc>
          <w:tcPr>
            <w:tcW w:w="1962"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4"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54"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Popis poljoprivrede</w:t>
            </w:r>
          </w:p>
        </w:tc>
      </w:tr>
      <w:tr w:rsidR="00BA77D2" w:rsidRPr="00D60728" w:rsidTr="00A84583">
        <w:trPr>
          <w:trHeight w:val="454"/>
        </w:trPr>
        <w:tc>
          <w:tcPr>
            <w:tcW w:w="1962"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4"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54"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provedbi politika i mjera za smanjenje emisija stakleničkih plinova</w:t>
            </w:r>
          </w:p>
          <w:p w:rsidR="00BA77D2" w:rsidRPr="00D60728" w:rsidRDefault="00BA77D2" w:rsidP="00BF7DCC">
            <w:pPr>
              <w:spacing w:line="240" w:lineRule="auto"/>
              <w:rPr>
                <w:rFonts w:ascii="Times New Roman" w:hAnsi="Times New Roman"/>
                <w:i/>
                <w:iCs/>
                <w:sz w:val="20"/>
                <w:szCs w:val="20"/>
              </w:rPr>
            </w:pPr>
          </w:p>
        </w:tc>
      </w:tr>
      <w:tr w:rsidR="00BA77D2" w:rsidRPr="00D60728" w:rsidTr="00A84583">
        <w:trPr>
          <w:trHeight w:val="454"/>
        </w:trPr>
        <w:tc>
          <w:tcPr>
            <w:tcW w:w="3906"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54"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Mjera je povezana s mjerama Poticanje primjene obnovljivih izvora u proizvodnji električne energije i Poticanje izgradnje kogeneracijskih postrojenja iz sektora Energetika</w:t>
            </w:r>
          </w:p>
        </w:tc>
      </w:tr>
    </w:tbl>
    <w:p w:rsidR="00BA77D2" w:rsidRPr="00D60728" w:rsidRDefault="00BA77D2" w:rsidP="00BF7DCC">
      <w:pPr>
        <w:spacing w:line="240" w:lineRule="auto"/>
        <w:rPr>
          <w:sz w:val="20"/>
          <w:szCs w:val="20"/>
        </w:rPr>
      </w:pPr>
    </w:p>
    <w:p w:rsidR="00BA77D2" w:rsidRPr="00D60728" w:rsidRDefault="00BA77D2" w:rsidP="00BF7DCC">
      <w:pPr>
        <w:spacing w:line="240" w:lineRule="auto"/>
        <w:rPr>
          <w:sz w:val="20"/>
          <w:szCs w:val="20"/>
        </w:rPr>
      </w:pPr>
    </w:p>
    <w:tbl>
      <w:tblPr>
        <w:tblStyle w:val="TableGrid"/>
        <w:tblW w:w="5000" w:type="pct"/>
        <w:tblLook w:val="04A0" w:firstRow="1" w:lastRow="0" w:firstColumn="1" w:lastColumn="0" w:noHBand="0" w:noVBand="1"/>
      </w:tblPr>
      <w:tblGrid>
        <w:gridCol w:w="1959"/>
        <w:gridCol w:w="1943"/>
        <w:gridCol w:w="2742"/>
        <w:gridCol w:w="2416"/>
      </w:tblGrid>
      <w:tr w:rsidR="00BA77D2" w:rsidRPr="006D54B7" w:rsidTr="002F0DA4">
        <w:trPr>
          <w:trHeight w:val="454"/>
        </w:trPr>
        <w:tc>
          <w:tcPr>
            <w:tcW w:w="3902"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t>Naziv mjere</w:t>
            </w:r>
          </w:p>
        </w:tc>
        <w:tc>
          <w:tcPr>
            <w:tcW w:w="5158"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Poboljšanje uzgojno-selekcijskog programa, zdravlja i dobrobiti životinja</w:t>
            </w:r>
          </w:p>
        </w:tc>
      </w:tr>
      <w:tr w:rsidR="00BA77D2" w:rsidRPr="00D60728" w:rsidTr="002F0DA4">
        <w:trPr>
          <w:trHeight w:val="454"/>
        </w:trPr>
        <w:tc>
          <w:tcPr>
            <w:tcW w:w="3902"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58"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MAG-5</w:t>
            </w:r>
          </w:p>
        </w:tc>
      </w:tr>
      <w:tr w:rsidR="00BA77D2" w:rsidRPr="00D60728" w:rsidTr="002F0DA4">
        <w:trPr>
          <w:trHeight w:val="454"/>
        </w:trPr>
        <w:tc>
          <w:tcPr>
            <w:tcW w:w="1959"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58"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 ekonomska</w:t>
            </w:r>
          </w:p>
        </w:tc>
      </w:tr>
      <w:tr w:rsidR="00BA77D2" w:rsidRPr="00D60728" w:rsidTr="002F0DA4">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58"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2F0DA4">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Merge/>
            <w:vAlign w:val="center"/>
            <w:hideMark/>
          </w:tcPr>
          <w:p w:rsidR="00BA77D2" w:rsidRPr="00D60728" w:rsidRDefault="00BA77D2" w:rsidP="00BF7DCC">
            <w:pPr>
              <w:spacing w:line="240" w:lineRule="auto"/>
              <w:rPr>
                <w:rFonts w:ascii="Times New Roman" w:hAnsi="Times New Roman"/>
                <w:sz w:val="20"/>
                <w:szCs w:val="20"/>
              </w:rPr>
            </w:pPr>
          </w:p>
        </w:tc>
        <w:tc>
          <w:tcPr>
            <w:tcW w:w="5158"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2F0DA4">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Neizravno smanjenje emisije metana i didušikovog oksida kroz pasminska poboljšanja i unaprjeđenje genetskog potencijala</w:t>
            </w:r>
          </w:p>
        </w:tc>
      </w:tr>
      <w:tr w:rsidR="00BA77D2" w:rsidRPr="00D60728" w:rsidTr="002F0DA4">
        <w:trPr>
          <w:trHeight w:val="454"/>
        </w:trPr>
        <w:tc>
          <w:tcPr>
            <w:tcW w:w="1959" w:type="dxa"/>
            <w:vMerge/>
            <w:vAlign w:val="center"/>
          </w:tcPr>
          <w:p w:rsidR="00BA77D2" w:rsidRPr="00D60728" w:rsidRDefault="00BA77D2" w:rsidP="00BF7DCC">
            <w:pPr>
              <w:spacing w:line="240" w:lineRule="auto"/>
              <w:rPr>
                <w:rFonts w:ascii="Times New Roman" w:hAnsi="Times New Roman"/>
                <w:sz w:val="20"/>
                <w:szCs w:val="20"/>
              </w:rPr>
            </w:pPr>
          </w:p>
        </w:tc>
        <w:tc>
          <w:tcPr>
            <w:tcW w:w="1943"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58"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Uzgojni program skup je selekcijskih postupaka kojima se ostvaruje genetsko unapređivanje pojedinih vrsta i pasmina životinja s ciljem smanjenje emisija metana u mliječnih krava, ali i povećanja intenziteta proizvodnje. Ovaj neizravan učinak na smanjenje emis</w:t>
            </w:r>
            <w:r w:rsidR="00D3656D">
              <w:rPr>
                <w:rFonts w:ascii="Times New Roman" w:hAnsi="Times New Roman"/>
                <w:i/>
                <w:sz w:val="20"/>
                <w:szCs w:val="20"/>
              </w:rPr>
              <w:t>i</w:t>
            </w:r>
            <w:r w:rsidRPr="00D60728">
              <w:rPr>
                <w:rFonts w:ascii="Times New Roman" w:hAnsi="Times New Roman"/>
                <w:i/>
                <w:sz w:val="20"/>
                <w:szCs w:val="20"/>
              </w:rPr>
              <w:t>je stakleničkih plinova uvelike ovisi:</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Genetskom potencijalu i vrsti jedinki (uzgojno selekcijski rad) – Intenzivnom selekcijom na povećanje proizvodnosti (veća proizvodnja mlijeka, mesa, jaja i dr., veći dnevni prirasti, broj mladunčadi) postižu se neizravni učinci budući da se s manjim brojem životinja i uz manji utrošak hrane  proizvodi više animalnih proizvoda, a u isto vrijeme izlučuje manje hranjiva ekskrementima. Nadalje, veće iskorištavanje hrane rezultira smanjenim izlučivanjem N spojeva u fecesu i urinu, ali i navedeno smanjuje izlučivanje, a time i njihovu potencijalnu emisiju. Pozitivna genetska korelacija između PME (predviđena emisija metana) i RFI (rezidualnog unosa hrane) pokazuje je da krave sa nižim RFI imaju i nižu potencijalnu emisiju. Dakle, moguće je smanjiti proizvodnju metana kod krava odabirom genetski podobnijih krava s obzirom na emisiju metana. Genetska varijabilnost pretpostavlja smanjenje od 11-26% u desetogodišnjem razdoblju, ali može biti i veći primjenom selekcijskog programa. Međutim, postoji nekoliko sumnji, primjerice nedostatak točnih mjerenja metana (a glavna pretpostavka je da metan proizveden po jedinici hrane ne utječe na razinu RFI), kao i predviđanje  mogućih posljedica genetskog odabira. Za prevladavanje tih ograničenja, potrebno je prikupiti  podatke unosu hrane i o emisijama metana u mliječnih krava. </w:t>
            </w:r>
          </w:p>
          <w:p w:rsidR="00BA77D2" w:rsidRPr="00D60728" w:rsidRDefault="00BA77D2" w:rsidP="00BF7DCC">
            <w:pPr>
              <w:pStyle w:val="ListParagraph"/>
              <w:numPr>
                <w:ilvl w:val="0"/>
                <w:numId w:val="11"/>
              </w:numPr>
              <w:spacing w:line="240" w:lineRule="auto"/>
              <w:ind w:left="0"/>
              <w:contextualSpacing w:val="0"/>
              <w:rPr>
                <w:rFonts w:ascii="Times New Roman" w:hAnsi="Times New Roman"/>
                <w:i/>
                <w:sz w:val="20"/>
                <w:szCs w:val="20"/>
              </w:rPr>
            </w:pPr>
            <w:r w:rsidRPr="00D60728">
              <w:rPr>
                <w:rFonts w:ascii="Times New Roman" w:hAnsi="Times New Roman"/>
                <w:i/>
                <w:sz w:val="20"/>
                <w:szCs w:val="20"/>
              </w:rPr>
              <w:t xml:space="preserve">Zdravstvenom statusu i visini mortaliteta – očuvanje zdravlja je preduvjet za efikasnu stočarsku proizvodnju. Pozitivni učinci se očituju kroz veći unos i iskorištavanje hrane, veću proizvodnju, smanjen mortalitet i veću dobrobit životinja. Navedeno ima neizravni učinak na emisije. </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lastRenderedPageBreak/>
              <w:t xml:space="preserve">Trajanju proizvodnog ciklusa (dana tova, hranidbenih dana) – ima neizravni učinak kod vrsta/kategorija stoke koji se koriste za proizvodnju mesa, a usko je vezano uz genetski potencijal jedinki kao i sastav obroka (zadovoljavanje nutritivnih potreba).  </w:t>
            </w:r>
          </w:p>
        </w:tc>
      </w:tr>
      <w:tr w:rsidR="00BA77D2" w:rsidRPr="00D60728" w:rsidTr="002F0DA4">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58"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iCs/>
                <w:sz w:val="20"/>
                <w:szCs w:val="20"/>
              </w:rPr>
              <w:t>Poduzeća sa poljoprivrednom djelatnošću (stočarstvo), Stočarska gospodarstva, Mljekarst</w:t>
            </w:r>
            <w:r w:rsidR="00D3656D">
              <w:rPr>
                <w:rFonts w:ascii="Times New Roman" w:hAnsi="Times New Roman"/>
                <w:i/>
                <w:iCs/>
                <w:sz w:val="20"/>
                <w:szCs w:val="20"/>
              </w:rPr>
              <w:t>v</w:t>
            </w:r>
            <w:r w:rsidRPr="00D60728">
              <w:rPr>
                <w:rFonts w:ascii="Times New Roman" w:hAnsi="Times New Roman"/>
                <w:i/>
                <w:iCs/>
                <w:sz w:val="20"/>
                <w:szCs w:val="20"/>
              </w:rPr>
              <w:t>o-stočarske zadruge i clusteri</w:t>
            </w:r>
          </w:p>
        </w:tc>
      </w:tr>
      <w:tr w:rsidR="00BA77D2" w:rsidRPr="00D60728" w:rsidTr="002F0DA4">
        <w:trPr>
          <w:trHeight w:val="454"/>
        </w:trPr>
        <w:tc>
          <w:tcPr>
            <w:tcW w:w="1959"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58" w:type="dxa"/>
            <w:gridSpan w:val="2"/>
            <w:vAlign w:val="center"/>
          </w:tcPr>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Istraživanje s ciljem određivanja varijacije u predviđenoj emisiji CH</w:t>
            </w:r>
            <w:r w:rsidRPr="00D60728">
              <w:rPr>
                <w:rFonts w:ascii="Cambria Math" w:hAnsi="Cambria Math" w:cs="Cambria Math"/>
                <w:i/>
                <w:sz w:val="20"/>
                <w:szCs w:val="20"/>
              </w:rPr>
              <w:t>₄</w:t>
            </w:r>
            <w:r w:rsidRPr="00D60728">
              <w:rPr>
                <w:rFonts w:ascii="Times New Roman" w:hAnsi="Times New Roman"/>
                <w:i/>
                <w:sz w:val="20"/>
                <w:szCs w:val="20"/>
              </w:rPr>
              <w:t xml:space="preserve"> te određivanje genetičkog potencijala za smanjenje emisija metana u mliječnih krava kao i povećani intenzitet proizvodnje</w:t>
            </w:r>
          </w:p>
        </w:tc>
      </w:tr>
      <w:tr w:rsidR="00BA77D2" w:rsidRPr="00D60728" w:rsidTr="002F0DA4">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2F0DA4">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tc>
      </w:tr>
      <w:tr w:rsidR="00BA77D2" w:rsidRPr="00D60728" w:rsidTr="002F0DA4">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Ostali EU fondovi</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2F0DA4">
        <w:trPr>
          <w:trHeight w:val="1382"/>
        </w:trPr>
        <w:tc>
          <w:tcPr>
            <w:tcW w:w="1959"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3"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42"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16"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je uključeno u referentni scenarij</w:t>
            </w:r>
          </w:p>
        </w:tc>
      </w:tr>
      <w:tr w:rsidR="00BA77D2" w:rsidRPr="00D60728" w:rsidTr="002F0DA4">
        <w:trPr>
          <w:trHeight w:val="454"/>
        </w:trPr>
        <w:tc>
          <w:tcPr>
            <w:tcW w:w="1959" w:type="dxa"/>
            <w:vMerge/>
            <w:vAlign w:val="center"/>
          </w:tcPr>
          <w:p w:rsidR="00BA77D2" w:rsidRPr="00D60728" w:rsidRDefault="00BA77D2" w:rsidP="00BF7DCC">
            <w:pPr>
              <w:spacing w:line="240" w:lineRule="auto"/>
              <w:rPr>
                <w:rFonts w:ascii="Times New Roman" w:hAnsi="Times New Roman"/>
                <w:sz w:val="20"/>
                <w:szCs w:val="20"/>
              </w:rPr>
            </w:pPr>
          </w:p>
        </w:tc>
        <w:tc>
          <w:tcPr>
            <w:tcW w:w="1943" w:type="dxa"/>
            <w:vMerge/>
            <w:vAlign w:val="center"/>
          </w:tcPr>
          <w:p w:rsidR="00BA77D2" w:rsidRPr="00D60728" w:rsidRDefault="00BA77D2" w:rsidP="00BF7DCC">
            <w:pPr>
              <w:spacing w:line="240" w:lineRule="auto"/>
              <w:rPr>
                <w:rFonts w:ascii="Times New Roman" w:hAnsi="Times New Roman"/>
                <w:sz w:val="20"/>
                <w:szCs w:val="20"/>
              </w:rPr>
            </w:pPr>
          </w:p>
        </w:tc>
        <w:tc>
          <w:tcPr>
            <w:tcW w:w="5158" w:type="dxa"/>
            <w:gridSpan w:val="2"/>
            <w:vAlign w:val="center"/>
          </w:tcPr>
          <w:p w:rsidR="00BA77D2" w:rsidRPr="00D60728" w:rsidRDefault="00BA77D2" w:rsidP="00BF7DCC">
            <w:pPr>
              <w:numPr>
                <w:ilvl w:val="0"/>
                <w:numId w:val="10"/>
              </w:numPr>
              <w:spacing w:line="240" w:lineRule="auto"/>
              <w:jc w:val="left"/>
              <w:rPr>
                <w:rFonts w:ascii="Times New Roman" w:hAnsi="Times New Roman"/>
                <w:i/>
                <w:sz w:val="20"/>
                <w:szCs w:val="20"/>
              </w:rPr>
            </w:pPr>
            <w:r w:rsidRPr="00D60728">
              <w:rPr>
                <w:rFonts w:ascii="Times New Roman" w:hAnsi="Times New Roman"/>
                <w:i/>
                <w:sz w:val="20"/>
                <w:szCs w:val="20"/>
              </w:rPr>
              <w:t>povećani intenzitet proizvodnje.</w:t>
            </w:r>
          </w:p>
        </w:tc>
      </w:tr>
      <w:tr w:rsidR="00BA77D2" w:rsidRPr="00D60728" w:rsidTr="002F0DA4">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završenih istraživanja</w:t>
            </w:r>
          </w:p>
        </w:tc>
      </w:tr>
      <w:tr w:rsidR="00BA77D2" w:rsidRPr="00D60728" w:rsidTr="002F0DA4">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provedbi politika i mjera za smanjenje emisija stakleničkih plinova</w:t>
            </w:r>
          </w:p>
          <w:p w:rsidR="00BA77D2" w:rsidRPr="00D60728" w:rsidRDefault="00BA77D2" w:rsidP="00BF7DCC">
            <w:pPr>
              <w:spacing w:line="240" w:lineRule="auto"/>
              <w:rPr>
                <w:rFonts w:ascii="Times New Roman" w:hAnsi="Times New Roman"/>
                <w:i/>
                <w:iCs/>
                <w:sz w:val="20"/>
                <w:szCs w:val="20"/>
              </w:rPr>
            </w:pPr>
          </w:p>
        </w:tc>
      </w:tr>
      <w:tr w:rsidR="00BA77D2" w:rsidRPr="00D60728" w:rsidTr="002F0DA4">
        <w:trPr>
          <w:trHeight w:val="454"/>
        </w:trPr>
        <w:tc>
          <w:tcPr>
            <w:tcW w:w="3902"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p>
        </w:tc>
      </w:tr>
    </w:tbl>
    <w:p w:rsidR="00BA77D2" w:rsidRPr="00D60728" w:rsidRDefault="00BA77D2" w:rsidP="00BF7DCC">
      <w:pPr>
        <w:spacing w:line="240" w:lineRule="auto"/>
        <w:rPr>
          <w:sz w:val="20"/>
          <w:szCs w:val="20"/>
        </w:rPr>
      </w:pPr>
    </w:p>
    <w:p w:rsidR="00BA77D2" w:rsidRPr="00D60728" w:rsidRDefault="00BA77D2" w:rsidP="00BF7DCC">
      <w:pPr>
        <w:spacing w:line="240" w:lineRule="auto"/>
        <w:rPr>
          <w:sz w:val="20"/>
          <w:szCs w:val="20"/>
        </w:rPr>
      </w:pPr>
    </w:p>
    <w:tbl>
      <w:tblPr>
        <w:tblStyle w:val="TableGrid"/>
        <w:tblW w:w="5000" w:type="pct"/>
        <w:tblLook w:val="04A0" w:firstRow="1" w:lastRow="0" w:firstColumn="1" w:lastColumn="0" w:noHBand="0" w:noVBand="1"/>
      </w:tblPr>
      <w:tblGrid>
        <w:gridCol w:w="1956"/>
        <w:gridCol w:w="1941"/>
        <w:gridCol w:w="2738"/>
        <w:gridCol w:w="2425"/>
      </w:tblGrid>
      <w:tr w:rsidR="00BA77D2" w:rsidRPr="006D54B7" w:rsidTr="002F0DA4">
        <w:trPr>
          <w:trHeight w:val="454"/>
        </w:trPr>
        <w:tc>
          <w:tcPr>
            <w:tcW w:w="3897"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t>Naziv mjere</w:t>
            </w:r>
          </w:p>
        </w:tc>
        <w:tc>
          <w:tcPr>
            <w:tcW w:w="5163"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Unaprjeđivanje i promjena sustava obrade tla (reducirana obrada)</w:t>
            </w:r>
          </w:p>
        </w:tc>
      </w:tr>
      <w:tr w:rsidR="00BA77D2" w:rsidRPr="00D60728" w:rsidTr="002F0DA4">
        <w:trPr>
          <w:trHeight w:val="454"/>
        </w:trPr>
        <w:tc>
          <w:tcPr>
            <w:tcW w:w="389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MAG-6</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ign w:val="center"/>
            <w:hideMark/>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Povećanje sekvestracije ugljika u tlu kroz unaprjeđenja i izmjene sustava obrade tla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63" w:type="dxa"/>
            <w:gridSpan w:val="2"/>
            <w:vAlign w:val="center"/>
          </w:tcPr>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Sustavi obrade tla presudno utječu na parametre koji su bitni za skladištenje vode u tlu, općenito na vodo-zračne odnose, gubitke vodom evapotranspiracijom, toplinsko stanje tla, a time i na mikrobiološku aktivnost i na disanje tla. Problematika smanjenja emisije CO</w:t>
            </w:r>
            <w:r w:rsidRPr="00D60728">
              <w:rPr>
                <w:rFonts w:ascii="Times New Roman" w:hAnsi="Times New Roman"/>
                <w:i/>
                <w:sz w:val="20"/>
                <w:szCs w:val="20"/>
                <w:vertAlign w:val="subscript"/>
              </w:rPr>
              <w:t>2</w:t>
            </w:r>
            <w:r w:rsidRPr="00D60728">
              <w:rPr>
                <w:rFonts w:ascii="Times New Roman" w:hAnsi="Times New Roman"/>
                <w:i/>
                <w:sz w:val="20"/>
                <w:szCs w:val="20"/>
              </w:rPr>
              <w:t xml:space="preserve"> iz poljoprivrednih tala u Hrvatskoj nije dovoljno istražena u lokalnim uvjetima. </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 xml:space="preserve">Reducirana obrada tla predstavlja primjenu rezultata znanstvenih istraživanja i praktičnih provjera koji rezultiraju promjenom konvencionalnog sustava obrade tla kroz reduciranje dubine osnovne i dopunske obrade tla, </w:t>
            </w:r>
            <w:r w:rsidRPr="00D60728">
              <w:rPr>
                <w:rFonts w:ascii="Times New Roman" w:hAnsi="Times New Roman"/>
                <w:i/>
                <w:sz w:val="20"/>
                <w:szCs w:val="20"/>
              </w:rPr>
              <w:lastRenderedPageBreak/>
              <w:t xml:space="preserve">izostavljanje jednog ili više radnih zahvata, reduciranja frekvencije obrade ili potpunog izostavljanja obrade tla. </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Tako se reducirana obrade tla može podijeliti na osnovni koncepte:</w:t>
            </w:r>
          </w:p>
          <w:p w:rsidR="00BA77D2" w:rsidRPr="00D60728" w:rsidRDefault="00BA77D2" w:rsidP="00BF7DCC">
            <w:pPr>
              <w:numPr>
                <w:ilvl w:val="0"/>
                <w:numId w:val="12"/>
              </w:numPr>
              <w:shd w:val="clear" w:color="auto" w:fill="FFFFFF"/>
              <w:spacing w:line="240" w:lineRule="auto"/>
              <w:rPr>
                <w:rFonts w:ascii="Times New Roman" w:hAnsi="Times New Roman"/>
                <w:i/>
                <w:sz w:val="20"/>
                <w:szCs w:val="20"/>
              </w:rPr>
            </w:pPr>
            <w:r w:rsidRPr="00D60728">
              <w:rPr>
                <w:rFonts w:ascii="Times New Roman" w:hAnsi="Times New Roman"/>
                <w:i/>
                <w:sz w:val="20"/>
                <w:szCs w:val="20"/>
              </w:rPr>
              <w:t xml:space="preserve">Reduciranje klasičnih sustava obrade </w:t>
            </w:r>
          </w:p>
          <w:p w:rsidR="00BA77D2" w:rsidRPr="00D60728" w:rsidRDefault="00BA77D2" w:rsidP="00BF7DCC">
            <w:pPr>
              <w:numPr>
                <w:ilvl w:val="0"/>
                <w:numId w:val="12"/>
              </w:numPr>
              <w:shd w:val="clear" w:color="auto" w:fill="FFFFFF"/>
              <w:spacing w:line="240" w:lineRule="auto"/>
              <w:rPr>
                <w:rFonts w:ascii="Times New Roman" w:hAnsi="Times New Roman"/>
                <w:i/>
                <w:sz w:val="20"/>
                <w:szCs w:val="20"/>
              </w:rPr>
            </w:pPr>
            <w:r w:rsidRPr="00D60728">
              <w:rPr>
                <w:rFonts w:ascii="Times New Roman" w:hAnsi="Times New Roman"/>
                <w:i/>
                <w:sz w:val="20"/>
                <w:szCs w:val="20"/>
              </w:rPr>
              <w:t>Minimalna obradu (minimum tillage)</w:t>
            </w:r>
          </w:p>
          <w:p w:rsidR="00BA77D2" w:rsidRPr="00D60728" w:rsidRDefault="00BA77D2" w:rsidP="00BF7DCC">
            <w:pPr>
              <w:numPr>
                <w:ilvl w:val="0"/>
                <w:numId w:val="12"/>
              </w:numPr>
              <w:shd w:val="clear" w:color="auto" w:fill="FFFFFF"/>
              <w:spacing w:line="240" w:lineRule="auto"/>
              <w:rPr>
                <w:rFonts w:ascii="Times New Roman" w:hAnsi="Times New Roman"/>
                <w:i/>
                <w:sz w:val="20"/>
                <w:szCs w:val="20"/>
              </w:rPr>
            </w:pPr>
            <w:r w:rsidRPr="00D60728">
              <w:rPr>
                <w:rFonts w:ascii="Times New Roman" w:hAnsi="Times New Roman"/>
                <w:i/>
                <w:sz w:val="20"/>
                <w:szCs w:val="20"/>
              </w:rPr>
              <w:t>Izostavljanje obrade (no-till)</w:t>
            </w:r>
          </w:p>
          <w:p w:rsidR="00BA77D2" w:rsidRPr="00D60728" w:rsidRDefault="00BA77D2" w:rsidP="00BF7DCC">
            <w:pPr>
              <w:numPr>
                <w:ilvl w:val="0"/>
                <w:numId w:val="12"/>
              </w:numPr>
              <w:shd w:val="clear" w:color="auto" w:fill="FFFFFF"/>
              <w:spacing w:line="240" w:lineRule="auto"/>
              <w:rPr>
                <w:rFonts w:ascii="Times New Roman" w:hAnsi="Times New Roman"/>
                <w:i/>
                <w:sz w:val="20"/>
                <w:szCs w:val="20"/>
              </w:rPr>
            </w:pPr>
            <w:r w:rsidRPr="00D60728">
              <w:rPr>
                <w:rFonts w:ascii="Times New Roman" w:hAnsi="Times New Roman"/>
                <w:i/>
                <w:sz w:val="20"/>
                <w:szCs w:val="20"/>
              </w:rPr>
              <w:t>Konzervacijska obrada</w:t>
            </w:r>
          </w:p>
          <w:p w:rsidR="00BA77D2" w:rsidRPr="00D60728" w:rsidRDefault="00BA77D2" w:rsidP="00BF7DCC">
            <w:pPr>
              <w:numPr>
                <w:ilvl w:val="0"/>
                <w:numId w:val="12"/>
              </w:numPr>
              <w:shd w:val="clear" w:color="auto" w:fill="FFFFFF"/>
              <w:spacing w:line="240" w:lineRule="auto"/>
              <w:rPr>
                <w:rFonts w:ascii="Times New Roman" w:hAnsi="Times New Roman"/>
                <w:i/>
                <w:sz w:val="20"/>
                <w:szCs w:val="20"/>
              </w:rPr>
            </w:pPr>
            <w:r w:rsidRPr="00D60728">
              <w:rPr>
                <w:rFonts w:ascii="Times New Roman" w:hAnsi="Times New Roman"/>
                <w:i/>
                <w:sz w:val="20"/>
                <w:szCs w:val="20"/>
              </w:rPr>
              <w:t>Racionalna obrada</w:t>
            </w:r>
          </w:p>
          <w:p w:rsidR="00BA77D2" w:rsidRPr="00D60728" w:rsidRDefault="00BA77D2" w:rsidP="00BF7DCC">
            <w:pPr>
              <w:shd w:val="clear" w:color="auto" w:fill="FFFFFF"/>
              <w:spacing w:line="240" w:lineRule="auto"/>
              <w:rPr>
                <w:rFonts w:ascii="Times New Roman" w:hAnsi="Times New Roman"/>
                <w:i/>
                <w:sz w:val="20"/>
                <w:szCs w:val="20"/>
              </w:rPr>
            </w:pP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Detaljna pedološka istraživanja provedena u Hrvatskoj tek su jedan od ulaznih parametara za opću procjenu prikladnosti zemljišta za primjenu no-tillage sustava, no potreban je projekt koji bi dao detaljne odgovore na pitanje pogodnosti tala za no-tillage u Hrvatskoj.</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U uvjetima globalnih klimatskih promjena i sve češćih i intenzivnijih sušnih razdoblja (prema IPCC-u, u regijama južne, jugoistočne i istočne Europe, pa tako i Republici Hrvatskoj u toploj polovini godine može se očekivati smanjivanje vlažnosti tla za 15-25%) možda najvažnijom zadaćom reducirane obrade tla postaje akumulacija i skladištenje vode u tlu. Istovremeno, u godinama bogatim oborinama, koje se u posljednje vrijeme također javljaju, često je prekomjerno zasićenje tla vodom, što čini problematiku obrade tla još teže rješivom. Drugi razlozi primjene ovih sustava obrade tla su vezani za poboljšanja biološka, kemijska i fizikalna svojstva tla te sprečavanje i ublažavanje erozije. Sustavi gospodarenja koji uključuju zahvate konzervacijske obrade tla, organske gnojidbe, zadržavanje dijela površine pod travnjacima, odgovarajuću strukturu plodoreda, i sl. imaju pozitivan utjecaj na podizanje organske tvari u tl</w:t>
            </w:r>
            <w:r w:rsidR="00D3656D">
              <w:rPr>
                <w:rFonts w:ascii="Times New Roman" w:hAnsi="Times New Roman"/>
                <w:i/>
                <w:sz w:val="20"/>
                <w:szCs w:val="20"/>
              </w:rPr>
              <w:t>u</w:t>
            </w:r>
            <w:r w:rsidRPr="00D60728">
              <w:rPr>
                <w:rFonts w:ascii="Times New Roman" w:hAnsi="Times New Roman"/>
                <w:i/>
                <w:sz w:val="20"/>
                <w:szCs w:val="20"/>
              </w:rPr>
              <w:t xml:space="preserve">, koja ima ključnu ulogu u održavanju svih uloga tla. Izravni utjecaj na emisiju stakleničkih plinova kod reduciranog sustava obrade tla prvenstveno se odnosi na značajni utjecaj na sadržaj organskog ugljika (povećanje akumulacije organske tvari u tlu, posebno kod kombinacija sustava minimalne obrade i pokrovnih međuusjeva kod uzgoja žitarica) te  s aspekta smanjenog utroška energije (fosilnih goriva) zbog manjeg broja radnih sati strojeva. Reducirana obrada tla je povoljna i sa stajališta suzbijanja korova, uspostavi optimalnog funkcioniranja tla i optimalne visine uroda po jedinici proizvodne površine – odnosno ukupnom smanjenju proizvodnih troškova. </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Zahvati u agrotehnici, kao i postupci kojima se može sadržaj organske tvari u tlu zadržavati ili se čak i povećati se u Hrvatskoj ne provode na zadovoljavajući način. Problemi u smanjenju plodnosti tla uvjetuju izgledan pad prinosa uzgajanih kultura, kao i otežanu obrada tla, smanjeno iskorištenje primijenjenih gnojiva, te u cjelini smanjena učinkovitost proizvodnje.</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 xml:space="preserve">Primjenom različitih sustava obrade tla mijenjaju se i sadašnja ustaljena shvaćanja o odnosu obrade i gnojidbe dušikom, što zahtjeva dodatne analize kako bi se izbjegla acidifikacija i pretjerano gnojenje dušičnim gnojivima, posebno u početnom razdoblju uspostave konzervacijske obrade.  </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63"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iCs/>
                <w:sz w:val="20"/>
                <w:szCs w:val="20"/>
              </w:rPr>
              <w:t>Poduzeća sa poljoprivrednom djelatnošću, Poljoprivredna gospodarstva, Poljoprivredne zadruge i clusteri</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lastRenderedPageBreak/>
              <w:t>Način provedbe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63" w:type="dxa"/>
            <w:gridSpan w:val="2"/>
            <w:vAlign w:val="center"/>
          </w:tcPr>
          <w:p w:rsidR="00BA77D2" w:rsidRPr="00D60728" w:rsidRDefault="00BA77D2" w:rsidP="00BF7DCC">
            <w:pPr>
              <w:pStyle w:val="ListParagraph"/>
              <w:numPr>
                <w:ilvl w:val="0"/>
                <w:numId w:val="18"/>
              </w:numPr>
              <w:shd w:val="clear" w:color="auto" w:fill="FFFFFF"/>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Projekt s ciljem utvrđivanja pitanje pogodnosti tala za no-tillage u Hrvatskoj.</w:t>
            </w:r>
          </w:p>
          <w:p w:rsidR="00BA77D2" w:rsidRPr="00D60728" w:rsidRDefault="00BA77D2" w:rsidP="00BF7DCC">
            <w:pPr>
              <w:pStyle w:val="ListParagraph"/>
              <w:numPr>
                <w:ilvl w:val="0"/>
                <w:numId w:val="18"/>
              </w:numPr>
              <w:shd w:val="clear" w:color="auto" w:fill="FFFFFF"/>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Nacionalna istraživanja s ciljem definiranja stvarnih potencijala za povećavanje ponora ugljika u poljoprivrednim tlima i odnos sustava reducirane obrade tla s obzirom na gnojidbene preporuke.</w:t>
            </w:r>
          </w:p>
          <w:p w:rsidR="00BA77D2" w:rsidRPr="00D60728" w:rsidRDefault="00BA77D2" w:rsidP="00BF7DCC">
            <w:pPr>
              <w:pStyle w:val="ListParagraph"/>
              <w:numPr>
                <w:ilvl w:val="0"/>
                <w:numId w:val="18"/>
              </w:numPr>
              <w:shd w:val="clear" w:color="auto" w:fill="FFFFFF"/>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Nacionalna istraživanja utjecaja reducirane obrade na podizanje organske tvari u tlu.</w:t>
            </w:r>
          </w:p>
          <w:p w:rsidR="00BA77D2" w:rsidRPr="00D60728" w:rsidRDefault="00BA77D2" w:rsidP="00BF7DCC">
            <w:pPr>
              <w:pStyle w:val="ListParagraph"/>
              <w:numPr>
                <w:ilvl w:val="0"/>
                <w:numId w:val="18"/>
              </w:numPr>
              <w:shd w:val="clear" w:color="auto" w:fill="FFFFFF"/>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Programi edukacije korisnika poljoprivrednih površina u Hrvatskoj na temu očuvanja organske tvari u tlu</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Hrvatska poljoprivredna agencija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Agencija za okoliš i prirodu</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zaštite okoliša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Ostali EU fondovi</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2F0DA4">
        <w:trPr>
          <w:trHeight w:val="1382"/>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1"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38"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25"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Za procjenu potencijalnog smanjenja emisije potrebna su sustavna istraživanja u sektoru načina korištenja zemljišta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Merge/>
            <w:vAlign w:val="center"/>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tcPr>
          <w:p w:rsidR="00BA77D2" w:rsidRPr="00D60728" w:rsidRDefault="00BA77D2" w:rsidP="00BF7DCC">
            <w:pPr>
              <w:numPr>
                <w:ilvl w:val="0"/>
                <w:numId w:val="10"/>
              </w:numPr>
              <w:spacing w:line="240" w:lineRule="auto"/>
              <w:jc w:val="left"/>
              <w:rPr>
                <w:rFonts w:ascii="Times New Roman" w:hAnsi="Times New Roman"/>
                <w:i/>
                <w:sz w:val="20"/>
                <w:szCs w:val="20"/>
              </w:rPr>
            </w:pPr>
            <w:r w:rsidRPr="00D60728">
              <w:rPr>
                <w:rFonts w:ascii="Times New Roman" w:hAnsi="Times New Roman"/>
                <w:i/>
                <w:sz w:val="20"/>
                <w:szCs w:val="20"/>
              </w:rPr>
              <w:t>povećani intenzitet proizvodnje.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završenih projekata i istraživanja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r w:rsidR="00BA77D2" w:rsidRPr="00D60728" w:rsidTr="002F0DA4">
        <w:trPr>
          <w:trHeight w:val="454"/>
        </w:trPr>
        <w:tc>
          <w:tcPr>
            <w:tcW w:w="389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MAG-7, MAG-8, MAG-9, MAG-10, MAG-11</w:t>
            </w:r>
          </w:p>
        </w:tc>
      </w:tr>
    </w:tbl>
    <w:p w:rsidR="00BA77D2" w:rsidRPr="00D60728" w:rsidRDefault="00BA77D2" w:rsidP="00BF7DCC">
      <w:pPr>
        <w:spacing w:line="240" w:lineRule="auto"/>
        <w:rPr>
          <w:sz w:val="20"/>
          <w:szCs w:val="20"/>
        </w:rPr>
      </w:pPr>
    </w:p>
    <w:p w:rsidR="00BA77D2" w:rsidRPr="00D60728" w:rsidRDefault="00BA77D2" w:rsidP="00BF7DCC">
      <w:pPr>
        <w:spacing w:line="240" w:lineRule="auto"/>
        <w:rPr>
          <w:sz w:val="20"/>
          <w:szCs w:val="20"/>
        </w:rPr>
      </w:pPr>
    </w:p>
    <w:tbl>
      <w:tblPr>
        <w:tblStyle w:val="TableGrid"/>
        <w:tblW w:w="5000" w:type="pct"/>
        <w:tblLook w:val="04A0" w:firstRow="1" w:lastRow="0" w:firstColumn="1" w:lastColumn="0" w:noHBand="0" w:noVBand="1"/>
      </w:tblPr>
      <w:tblGrid>
        <w:gridCol w:w="1956"/>
        <w:gridCol w:w="1941"/>
        <w:gridCol w:w="2738"/>
        <w:gridCol w:w="2425"/>
      </w:tblGrid>
      <w:tr w:rsidR="00BA77D2" w:rsidRPr="006D54B7" w:rsidTr="002F0DA4">
        <w:trPr>
          <w:trHeight w:val="454"/>
        </w:trPr>
        <w:tc>
          <w:tcPr>
            <w:tcW w:w="3897"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t>Naziv mjere</w:t>
            </w:r>
          </w:p>
        </w:tc>
        <w:tc>
          <w:tcPr>
            <w:tcW w:w="5163"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Proširenje plodoreda s većim učešćem leguminoza</w:t>
            </w:r>
          </w:p>
        </w:tc>
      </w:tr>
      <w:tr w:rsidR="00BA77D2" w:rsidRPr="00D60728" w:rsidTr="002F0DA4">
        <w:trPr>
          <w:trHeight w:val="454"/>
        </w:trPr>
        <w:tc>
          <w:tcPr>
            <w:tcW w:w="389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MAG-7</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ign w:val="center"/>
            <w:hideMark/>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Definiranje potencijala izmjene sadržaja organske tvari / povećanje sekvestracije ugljika u tlu izmjenama plodoreda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63" w:type="dxa"/>
            <w:gridSpan w:val="2"/>
            <w:vAlign w:val="center"/>
          </w:tcPr>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Plodored je sustav biljne proizvodnje koji se prakticira na oranicama, a predstavlja pravilnu, prostornu (poljosmjena) i vremensku (plodosmjena) izmjenu usjeva. Pri određivanju plodoreda potrebno je voditi brigu o vrsti i plodnosti tla, pH vrijednosti, klimatskim uvjetima te utjecaju kulture na plodnost tla, strukturu i opskrbljenost hran</w:t>
            </w:r>
            <w:r w:rsidR="00D3656D">
              <w:rPr>
                <w:rFonts w:ascii="Times New Roman" w:hAnsi="Times New Roman"/>
                <w:i/>
                <w:sz w:val="20"/>
                <w:szCs w:val="20"/>
              </w:rPr>
              <w:t>j</w:t>
            </w:r>
            <w:r w:rsidRPr="00D60728">
              <w:rPr>
                <w:rFonts w:ascii="Times New Roman" w:hAnsi="Times New Roman"/>
                <w:i/>
                <w:sz w:val="20"/>
                <w:szCs w:val="20"/>
              </w:rPr>
              <w:t>ivima. Plodored se planira pojedinačno za svako gospodarstvo prema zahtjevima proizvodnje, pri čemu je bitno pridržavanje preporučenog slijeda kultura. Plodoredom je potrebno obuhvatiti tri osnovne skupine biljaka- okopavine, žitarice i leguminoze.</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lastRenderedPageBreak/>
              <w:t>Prakticirani plodoredi i danas snažno, zajedno sa sustavima obrade tla, utječu na promjene sadržaja organske tvari u tlu. Uski plodored u kojem su gotovo obavezno uključeni kukuruz i ozima pšenica, bez intenziviranja plodoreda, uz nedopušteno spaljivanje žetvenih ostataka, praksa je koja ne može povoljno utjecati na povećanje sadržaja organske tvari u tlu. Plodored koji ima za cilj dugoročno utjecati na zadržavanje iste razine humusa, treba uključiti i leguminozne usjeve, djeteline, djetelinsko travne smjese, a trebao bi, kad je moguće uključivati i sjetvu postrnih usjeva za zelenu gnojidbu. Prema rezultatima Butorca i sur. (1995) prosječni sadržaj humusa u tlu za različite plodorede, od monokulture duhana, preko dva dvopoljna, tropoljnim, dva četveropoljna, te po jednim petero i šesteropoljnim plodoredom varirao je od 1,3 do 1,6%, ali u 10 godišnjem razdoblju nije došlo do značajnije diferencijacije u smislu razlika u sadržaju humusa prema tipovima plodoreda. Iz ovoga je razvidno da istraživanja koja za temu imaju utjecaj prakticiranih plodoredna na promjene kemijskih, pa i fizikalnih i bioloških značajki tla moraju trajati dugo vrijeme, jer se niti 10-godišnje razdoblje ne smatra dovoljno dugim za studiranje ovakvih promjena.</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Sjetva leguminoznih usjeva ima mnogostruke povoljne učinke za poljoprivredna tla. Na ovaj način se veže atmosferski dušik, koji se odmah koristi za sintezu bjelančevina i sprječava se opasnost od onečišćenja podzemnih voda nitratima koji se inače javljaju kod intenzivne primjene mineralnih dušičnih gnojiva. Tlo se obogaćuje organskom tvari što ima višestruke pozitivne učinke na poboljšanje i održanje povoljnih fizikalnih, kemijskih i bioloških svojstava tla. Održava se plodnost tla i omogućuje kulturama koje slijede u plodoredu korištenje biološki vezanog atmosferskog dušika. Pojedini usjevi (djetelina) mogu biti učinkoviti kod sekvestracija ugljike u tlu. Nadalje, uzgojem leguminoznih usjeva smanjuje se količina organskih gnojiva bogatih dušikom koje treba aplicirati. U pravilu njih nije potrebno gnojiti izuzev samo manjim količinama na početku njihove vegetacije za početni rast i razvoj sve dok one ne formiraju korijenove kvržice i dok ne počne proces fiksacije dušika.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63"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iCs/>
                <w:sz w:val="20"/>
                <w:szCs w:val="20"/>
              </w:rPr>
              <w:t>Poduzeća sa poljoprivrednom djelatnošću, Poljoprivredna gospodarstva, Poljoprivredne zadruge i clusteri</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63" w:type="dxa"/>
            <w:gridSpan w:val="2"/>
            <w:vAlign w:val="center"/>
          </w:tcPr>
          <w:p w:rsidR="00BA77D2" w:rsidRPr="00D60728" w:rsidRDefault="00BA77D2" w:rsidP="00BF7DCC">
            <w:pPr>
              <w:pStyle w:val="ListParagraph"/>
              <w:numPr>
                <w:ilvl w:val="0"/>
                <w:numId w:val="15"/>
              </w:numPr>
              <w:shd w:val="clear" w:color="auto" w:fill="FFFFFF"/>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Početak višegodišnjih istraživanja utjecaja prakticiranih plodoreda na promjene značajki tla (očekivano trajanje &gt;10 godina)</w:t>
            </w:r>
          </w:p>
          <w:p w:rsidR="00BA77D2" w:rsidRPr="00D60728" w:rsidRDefault="00BA77D2" w:rsidP="00BF7DCC">
            <w:pPr>
              <w:pStyle w:val="ListParagraph"/>
              <w:numPr>
                <w:ilvl w:val="0"/>
                <w:numId w:val="15"/>
              </w:numPr>
              <w:shd w:val="clear" w:color="auto" w:fill="FFFFFF"/>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Poticanje proizvođača na povećanje udjela leguminoznih usjeva prilikom kreiranja plodoreda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Hrvatska poljoprivredna agencija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2F0DA4">
        <w:trPr>
          <w:trHeight w:val="1382"/>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1"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38"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25"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Za procjenu potencijalnog smanjenja emisije potrebna su sustavna istraživanja u sektoru načina korištenja zemljišta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Merge/>
            <w:vAlign w:val="center"/>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završenih  projekata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r w:rsidR="00BA77D2" w:rsidRPr="00D60728" w:rsidTr="002F0DA4">
        <w:trPr>
          <w:trHeight w:val="454"/>
        </w:trPr>
        <w:tc>
          <w:tcPr>
            <w:tcW w:w="389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MAG-6, MAG-8</w:t>
            </w:r>
          </w:p>
        </w:tc>
      </w:tr>
    </w:tbl>
    <w:p w:rsidR="00BA77D2" w:rsidRPr="00D60728" w:rsidRDefault="00BA77D2" w:rsidP="00BF7DCC">
      <w:pPr>
        <w:spacing w:line="240" w:lineRule="auto"/>
        <w:rPr>
          <w:sz w:val="20"/>
          <w:szCs w:val="20"/>
        </w:rPr>
      </w:pPr>
    </w:p>
    <w:p w:rsidR="00BA77D2" w:rsidRPr="00D60728" w:rsidRDefault="00BA77D2" w:rsidP="00BF7DCC">
      <w:pPr>
        <w:spacing w:line="240" w:lineRule="auto"/>
        <w:rPr>
          <w:sz w:val="20"/>
          <w:szCs w:val="20"/>
        </w:rPr>
      </w:pPr>
    </w:p>
    <w:tbl>
      <w:tblPr>
        <w:tblStyle w:val="TableGrid"/>
        <w:tblW w:w="5000" w:type="pct"/>
        <w:tblLook w:val="04A0" w:firstRow="1" w:lastRow="0" w:firstColumn="1" w:lastColumn="0" w:noHBand="0" w:noVBand="1"/>
      </w:tblPr>
      <w:tblGrid>
        <w:gridCol w:w="1956"/>
        <w:gridCol w:w="1941"/>
        <w:gridCol w:w="2738"/>
        <w:gridCol w:w="2425"/>
      </w:tblGrid>
      <w:tr w:rsidR="00BA77D2" w:rsidRPr="006D54B7" w:rsidTr="002F0DA4">
        <w:trPr>
          <w:trHeight w:val="454"/>
        </w:trPr>
        <w:tc>
          <w:tcPr>
            <w:tcW w:w="3897"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rPr>
              <w:br w:type="page"/>
            </w:r>
            <w:r w:rsidRPr="006D54B7">
              <w:rPr>
                <w:rFonts w:ascii="Times New Roman" w:hAnsi="Times New Roman"/>
                <w:b/>
                <w:iCs/>
              </w:rPr>
              <w:t>Naziv mjere</w:t>
            </w:r>
          </w:p>
        </w:tc>
        <w:tc>
          <w:tcPr>
            <w:tcW w:w="5163"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Intenziviranje plodoreda korištenjem međuusjeva</w:t>
            </w:r>
          </w:p>
        </w:tc>
      </w:tr>
      <w:tr w:rsidR="00BA77D2" w:rsidRPr="00D60728" w:rsidTr="002F0DA4">
        <w:trPr>
          <w:trHeight w:val="454"/>
        </w:trPr>
        <w:tc>
          <w:tcPr>
            <w:tcW w:w="389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MAG-8</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 regulatorna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ign w:val="center"/>
            <w:hideMark/>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Izmjene sadržaja organske tvari / povećanje sekvestracije ugljika u tlu te smanjenje procjeđivanja nitrata sjetvom međuusjeva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63" w:type="dxa"/>
            <w:gridSpan w:val="2"/>
            <w:vAlign w:val="center"/>
          </w:tcPr>
          <w:p w:rsidR="00BA77D2" w:rsidRPr="00D60728" w:rsidRDefault="00BA77D2" w:rsidP="00BF7DCC">
            <w:pPr>
              <w:shd w:val="clear" w:color="auto" w:fill="FFFFFF"/>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Načela dobre poljoprivredne prakse u zaštiti tla i voda od nitrata preporučuju uvođenje međuusjeva (postrnih usjeva)  između žetve glavnih kultura.  Sjetvom međuusjeva koji se mogu  koristiti za hranidbu stoke ili zaorati za zelenu gnojidbu, iskoristiti će se preostala hraniva, spriječiti daljnje ispiravanje vode iz tla, smanjiti gubitak ugljika iz tla (uklanjanje negativnog efekta „golog tla“), spriječiti ispiranje dušika u podzemne vode (pogotovo na lakšim tlima) te povećati organsku masu na poljoprivrednim gospodarstvima koja na svojim oranicama imaju uzak plodored. Usjevi iz porodice leguminoza vežu dušik iz zraka i tako obogaćuju tlo, čuvaju i potiču mikrobiološku aktivnost u tlu te sprečavaju eroziju tla. Povećana cijena poljoprivredne proizvodnje po hektaru obično se kompenzira kroz uštedu u pripremi stočne hrane ili smanjenje potrebe za primjenom mineralnim gnojivima. Problemi koji se javljaju u tom postupku tiču se vremena i organizacije rada na gospodarstvu, ali su oni rješivi, što se samo uvjetno može reći za sušu koja se može javiti u vrijeme nakon žetve strnih žitarica, pri čemu je sjetva postrnih usjeva upitna.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63"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iCs/>
                <w:sz w:val="20"/>
                <w:szCs w:val="20"/>
              </w:rPr>
              <w:t>Poduzeća sa poljoprivrednom djelatnošću, Poljoprivredna gospodarstva, Poljoprivredne zadruge i clusteri</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63" w:type="dxa"/>
            <w:gridSpan w:val="2"/>
            <w:vAlign w:val="center"/>
          </w:tcPr>
          <w:p w:rsidR="00BA77D2" w:rsidRPr="00D60728" w:rsidRDefault="00BA77D2" w:rsidP="00BF7DCC">
            <w:pPr>
              <w:pStyle w:val="ListParagraph"/>
              <w:numPr>
                <w:ilvl w:val="0"/>
                <w:numId w:val="14"/>
              </w:numPr>
              <w:shd w:val="clear" w:color="auto" w:fill="FFFFFF"/>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Istraživanja utjecaja primjene međuusjeva na promjene značajki tla.</w:t>
            </w:r>
          </w:p>
          <w:p w:rsidR="00BA77D2" w:rsidRPr="00D60728" w:rsidRDefault="00BA77D2" w:rsidP="00BF7DCC">
            <w:pPr>
              <w:pStyle w:val="ListParagraph"/>
              <w:numPr>
                <w:ilvl w:val="0"/>
                <w:numId w:val="14"/>
              </w:numPr>
              <w:shd w:val="clear" w:color="auto" w:fill="FFFFFF"/>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Poticanje korištenja tipične ozime ili jare kulture za krmnu upotrebu kao međuusjeva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Hrvatska poljoprivredna agencija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63" w:type="dxa"/>
            <w:gridSpan w:val="2"/>
            <w:vAlign w:val="center"/>
          </w:tcPr>
          <w:p w:rsidR="00BA77D2" w:rsidRPr="00D60728" w:rsidRDefault="00BA77D2" w:rsidP="00BF7DCC">
            <w:pPr>
              <w:spacing w:line="240" w:lineRule="auto"/>
              <w:rPr>
                <w:rFonts w:ascii="Times New Roman" w:hAnsi="Times New Roman"/>
                <w:bCs/>
                <w:i/>
                <w:color w:val="000000"/>
                <w:sz w:val="20"/>
                <w:szCs w:val="20"/>
              </w:rPr>
            </w:pPr>
            <w:r w:rsidRPr="00D60728">
              <w:rPr>
                <w:rFonts w:ascii="Times New Roman" w:hAnsi="Times New Roman"/>
                <w:bCs/>
                <w:i/>
                <w:color w:val="000000"/>
                <w:sz w:val="20"/>
                <w:szCs w:val="20"/>
              </w:rPr>
              <w:t>30.000.000 kn</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2F0DA4">
        <w:trPr>
          <w:trHeight w:val="1382"/>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lastRenderedPageBreak/>
              <w:t>Praćenje provedbe</w:t>
            </w:r>
          </w:p>
        </w:tc>
        <w:tc>
          <w:tcPr>
            <w:tcW w:w="1941"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38"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25"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Za procjenu potencijalnog smanjenja emisije potrebna su sustavna istraživanja u sektoru načina korištenja zemljišta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Merge/>
            <w:vAlign w:val="center"/>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završenih  projekata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r w:rsidR="00BA77D2" w:rsidRPr="00D60728" w:rsidTr="002F0DA4">
        <w:trPr>
          <w:trHeight w:val="454"/>
        </w:trPr>
        <w:tc>
          <w:tcPr>
            <w:tcW w:w="389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MAG-6, MAG-7</w:t>
            </w:r>
          </w:p>
        </w:tc>
      </w:tr>
    </w:tbl>
    <w:p w:rsidR="00BA77D2" w:rsidRPr="00D60728" w:rsidRDefault="00BA77D2" w:rsidP="00BF7DCC">
      <w:pPr>
        <w:spacing w:line="240" w:lineRule="auto"/>
        <w:rPr>
          <w:sz w:val="20"/>
          <w:szCs w:val="20"/>
        </w:rPr>
      </w:pPr>
    </w:p>
    <w:p w:rsidR="00BA77D2" w:rsidRPr="00D60728" w:rsidRDefault="00BA77D2" w:rsidP="00BF7DCC">
      <w:pPr>
        <w:spacing w:line="240" w:lineRule="auto"/>
        <w:rPr>
          <w:sz w:val="20"/>
          <w:szCs w:val="20"/>
        </w:rPr>
      </w:pPr>
    </w:p>
    <w:tbl>
      <w:tblPr>
        <w:tblStyle w:val="TableGrid"/>
        <w:tblW w:w="5000" w:type="pct"/>
        <w:tblLook w:val="04A0" w:firstRow="1" w:lastRow="0" w:firstColumn="1" w:lastColumn="0" w:noHBand="0" w:noVBand="1"/>
      </w:tblPr>
      <w:tblGrid>
        <w:gridCol w:w="1956"/>
        <w:gridCol w:w="1941"/>
        <w:gridCol w:w="2738"/>
        <w:gridCol w:w="2425"/>
      </w:tblGrid>
      <w:tr w:rsidR="00BA77D2" w:rsidRPr="006D54B7" w:rsidTr="002F0DA4">
        <w:trPr>
          <w:trHeight w:val="454"/>
        </w:trPr>
        <w:tc>
          <w:tcPr>
            <w:tcW w:w="3897"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t>Naziv mjere</w:t>
            </w:r>
          </w:p>
        </w:tc>
        <w:tc>
          <w:tcPr>
            <w:tcW w:w="5163"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Poboljšanje metoda primjene mineralnih gnojiva</w:t>
            </w:r>
          </w:p>
        </w:tc>
      </w:tr>
      <w:tr w:rsidR="00BA77D2" w:rsidRPr="00D60728" w:rsidTr="002F0DA4">
        <w:trPr>
          <w:trHeight w:val="454"/>
        </w:trPr>
        <w:tc>
          <w:tcPr>
            <w:tcW w:w="389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MAG-9</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ign w:val="center"/>
            <w:hideMark/>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Smanjenje emisije didušikovog oksida iz poljoprivrednih tala uslijed optimiranja primjene mineralnih gnojiva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63" w:type="dxa"/>
            <w:gridSpan w:val="2"/>
            <w:vAlign w:val="center"/>
          </w:tcPr>
          <w:p w:rsidR="00BA77D2" w:rsidRPr="00D60728" w:rsidRDefault="00BA77D2" w:rsidP="00BF7DCC">
            <w:pPr>
              <w:pStyle w:val="NormalWeb"/>
              <w:spacing w:before="0" w:beforeAutospacing="0" w:after="0" w:afterAutospacing="0" w:line="240" w:lineRule="auto"/>
              <w:jc w:val="both"/>
              <w:rPr>
                <w:rFonts w:ascii="Times New Roman" w:hAnsi="Times New Roman"/>
                <w:i/>
                <w:sz w:val="20"/>
                <w:szCs w:val="20"/>
              </w:rPr>
            </w:pPr>
            <w:r w:rsidRPr="00D60728">
              <w:rPr>
                <w:rFonts w:ascii="Times New Roman" w:hAnsi="Times New Roman"/>
                <w:i/>
                <w:sz w:val="20"/>
                <w:szCs w:val="20"/>
              </w:rPr>
              <w:t>Mineralna gnojidba vrlo kompleksno utječe na organsku tvar tla. U pravilu, intenzivna gnojidba može utjecati na veću produkciju biomase usjeva, korova, ali i mikroorganizama tla, što posebno vrijedi za tla koja nemaju ostalih ograničenja za plodnost, osim nedostatka hranjiva. Moderan razvoj poljoprivrede u Hrvatskoj podrazumijeva uvođenje novih tehnologija, od kojih je za ratarsku proizvodnju vrlo zanimljiva tzv. „Variable liming“ i „variable fertilization rate“ ili „site-specific management“. Temelj za gnojidbu čine karte plodnosti tla koje se rade metodom kriginga. Na taj način stvaraju se pretpostavke za puno bolje održivo gospodarenje tlom. Suvremeni strojevi za precizno raspodjeljivanje materijala danas se već prodaju u Hrvatskoj, ali se oni ne mogu koristiti bez poznavanja razlika u plodnosti tla. Uvođenje informacijskih tehnologija, daljinskih istraživanja s primjenom u poljoprivredi, te izrada karata prinosa danas su svakodnevnica. Na taj način generira se prihod korisnika novih tehnologija, te ušteda poljoprivrednika u primjeni gnojiva, a samim tim i povoljan utjecaj na okoliš. Temelj za gnojidbu predstavljaju rezultati analize tla, koji bi se na svakom gospodarstvu trebali osiguravati u razdoblju od 4-5 godina.</w:t>
            </w:r>
          </w:p>
          <w:p w:rsidR="00BA77D2" w:rsidRPr="00D60728" w:rsidRDefault="00BA77D2" w:rsidP="00BF7DCC">
            <w:pPr>
              <w:pStyle w:val="NormalWeb"/>
              <w:spacing w:before="0" w:beforeAutospacing="0" w:after="0" w:afterAutospacing="0" w:line="240" w:lineRule="auto"/>
              <w:jc w:val="both"/>
              <w:rPr>
                <w:rFonts w:ascii="Times New Roman" w:hAnsi="Times New Roman"/>
                <w:i/>
                <w:sz w:val="20"/>
                <w:szCs w:val="20"/>
              </w:rPr>
            </w:pPr>
            <w:r w:rsidRPr="00D60728">
              <w:rPr>
                <w:rFonts w:ascii="Times New Roman" w:hAnsi="Times New Roman"/>
                <w:i/>
                <w:sz w:val="20"/>
                <w:szCs w:val="20"/>
              </w:rPr>
              <w:t xml:space="preserve">Subjektivne, „iskustvene“ ili vizualne procjene, najčešće rezultiraju minimalnim povećanjem ili čak smanjivanjem prinosa i kvalitete usjeva, te povećanom potrošnjom mineralnih gnojiva – što osim povećanih troškova proizvodnje podrazumijeva i povećano gubitak neiskorištenog dušika iz tla, kao i nepotrebno zakiseljavanje tla. </w:t>
            </w:r>
          </w:p>
          <w:p w:rsidR="00BA77D2" w:rsidRPr="00D60728" w:rsidRDefault="00BA77D2" w:rsidP="00BF7DCC">
            <w:pPr>
              <w:pStyle w:val="NormalWeb"/>
              <w:spacing w:before="0" w:beforeAutospacing="0" w:after="0" w:afterAutospacing="0" w:line="240" w:lineRule="auto"/>
              <w:jc w:val="both"/>
              <w:rPr>
                <w:rFonts w:ascii="Times New Roman" w:hAnsi="Times New Roman"/>
                <w:i/>
                <w:sz w:val="20"/>
                <w:szCs w:val="20"/>
              </w:rPr>
            </w:pPr>
            <w:r w:rsidRPr="00D60728">
              <w:rPr>
                <w:rFonts w:ascii="Times New Roman" w:hAnsi="Times New Roman"/>
                <w:i/>
                <w:sz w:val="20"/>
                <w:szCs w:val="20"/>
              </w:rPr>
              <w:t xml:space="preserve">Osim optimiziranja primjene konvencionalnih mineralnih gnojiva na smanjivanje gubitka dušika iz tla pozitivan utjecaj ima primjena gnojiva sporog djelovanja. Dušična gnojiva </w:t>
            </w:r>
            <w:r w:rsidRPr="00D60728">
              <w:rPr>
                <w:rFonts w:ascii="Times New Roman" w:hAnsi="Times New Roman"/>
                <w:i/>
                <w:sz w:val="20"/>
                <w:szCs w:val="20"/>
              </w:rPr>
              <w:lastRenderedPageBreak/>
              <w:t>kontroliranog ili sporog djelovanja svoju primjenu danas nalaze najvećim udjelom u proizvodnji s visokim prihodima (hortikultura i sl.). Starija generacija ovakvih gnojiva nije ekonomski isplativa pri proizvodnji žitarica zbog visoke cijene gnojiva i niskog prihoda po usjevu. Pojava novih sporodjelujućih gnojiva prikladnih za uzgoj kukuruza i pšenice (posebno gnojiva obložena polimerima) je kroz istraživanja ukazala na mogućnost smanjenu potrebu primjene gnojiva po h</w:t>
            </w:r>
            <w:r w:rsidR="00D3656D">
              <w:rPr>
                <w:rFonts w:ascii="Times New Roman" w:hAnsi="Times New Roman"/>
                <w:i/>
                <w:sz w:val="20"/>
                <w:szCs w:val="20"/>
              </w:rPr>
              <w:t>e</w:t>
            </w:r>
            <w:r w:rsidRPr="00D60728">
              <w:rPr>
                <w:rFonts w:ascii="Times New Roman" w:hAnsi="Times New Roman"/>
                <w:i/>
                <w:sz w:val="20"/>
                <w:szCs w:val="20"/>
              </w:rPr>
              <w:t>ktaru i do 35%, uz nepromijenjene ili povećane prihode, što ih čini ekonomski opravdanim i isplativim.</w:t>
            </w:r>
          </w:p>
          <w:p w:rsidR="00BA77D2" w:rsidRPr="00D60728" w:rsidRDefault="00BA77D2" w:rsidP="00BF7DCC">
            <w:pPr>
              <w:pStyle w:val="NormalWeb"/>
              <w:spacing w:before="0" w:beforeAutospacing="0" w:after="0" w:afterAutospacing="0" w:line="240" w:lineRule="auto"/>
              <w:jc w:val="both"/>
              <w:rPr>
                <w:rFonts w:ascii="Times New Roman" w:hAnsi="Times New Roman"/>
                <w:i/>
                <w:sz w:val="20"/>
                <w:szCs w:val="20"/>
              </w:rPr>
            </w:pPr>
            <w:r w:rsidRPr="00D60728">
              <w:rPr>
                <w:rFonts w:ascii="Times New Roman" w:hAnsi="Times New Roman"/>
                <w:i/>
                <w:sz w:val="20"/>
                <w:szCs w:val="20"/>
              </w:rPr>
              <w:t>U okviru cjelovitog rješavanja problema gospodarenja poljoprivrednim tlima primjena vapnenih materijala zauzima, zajedno s gnojidbom i obradom tla, ključno mjesto zbog potrebe za korekcije suvišne kiselosti tla na brojnim poljoprivrednim gospodarstvima</w:t>
            </w:r>
            <w:r w:rsidRPr="00D60728">
              <w:rPr>
                <w:rStyle w:val="CommentReference"/>
                <w:rFonts w:ascii="Times New Roman" w:hAnsi="Times New Roman"/>
                <w:i/>
                <w:sz w:val="20"/>
                <w:szCs w:val="20"/>
                <w:lang w:eastAsia="en-US"/>
              </w:rPr>
              <w:t xml:space="preserve">. </w:t>
            </w:r>
            <w:r w:rsidR="00D3656D">
              <w:rPr>
                <w:rStyle w:val="CommentReference"/>
                <w:rFonts w:ascii="Times New Roman" w:hAnsi="Times New Roman"/>
                <w:i/>
                <w:sz w:val="20"/>
                <w:szCs w:val="20"/>
                <w:lang w:eastAsia="en-US"/>
              </w:rPr>
              <w:t>U</w:t>
            </w:r>
            <w:r w:rsidRPr="00D60728">
              <w:rPr>
                <w:rFonts w:ascii="Times New Roman" w:hAnsi="Times New Roman"/>
                <w:i/>
                <w:sz w:val="20"/>
                <w:szCs w:val="20"/>
              </w:rPr>
              <w:t xml:space="preserve">običajeno je mišljenje da primjena vapnenih materijala dovodi do popravljana uvjeta za intenzivniji rad mikroorganizama što može dovesti do ubrzane razgradnje humusa. </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63"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iCs/>
                <w:sz w:val="20"/>
                <w:szCs w:val="20"/>
              </w:rPr>
              <w:t>Poduzeća sa poljoprivrednom djelatnošću, Poljoprivredna gospodarstva, Poljoprivredne zadruge i clusteri</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63" w:type="dxa"/>
            <w:gridSpan w:val="2"/>
            <w:vAlign w:val="center"/>
          </w:tcPr>
          <w:p w:rsidR="00BA77D2" w:rsidRPr="00D60728" w:rsidRDefault="00BA77D2" w:rsidP="00BF7DCC">
            <w:pPr>
              <w:pStyle w:val="ListParagraph"/>
              <w:numPr>
                <w:ilvl w:val="0"/>
                <w:numId w:val="17"/>
              </w:numPr>
              <w:shd w:val="clear" w:color="auto" w:fill="FFFFFF"/>
              <w:spacing w:line="240" w:lineRule="auto"/>
              <w:contextualSpacing w:val="0"/>
              <w:rPr>
                <w:rFonts w:ascii="Times New Roman" w:hAnsi="Times New Roman"/>
                <w:i/>
                <w:sz w:val="20"/>
                <w:szCs w:val="20"/>
              </w:rPr>
            </w:pPr>
            <w:r w:rsidRPr="00D60728">
              <w:rPr>
                <w:rFonts w:ascii="Times New Roman" w:hAnsi="Times New Roman"/>
                <w:i/>
                <w:sz w:val="20"/>
                <w:szCs w:val="20"/>
              </w:rPr>
              <w:t>Uvođenje informacijskih tehnologija, daljinskih istraživanja s primjenom u poljoprivredi, te izrada karata plodnosti tla</w:t>
            </w:r>
          </w:p>
          <w:p w:rsidR="00BA77D2" w:rsidRPr="00D60728" w:rsidRDefault="00BA77D2" w:rsidP="00BF7DCC">
            <w:pPr>
              <w:pStyle w:val="ListParagraph"/>
              <w:numPr>
                <w:ilvl w:val="0"/>
                <w:numId w:val="17"/>
              </w:numPr>
              <w:shd w:val="clear" w:color="auto" w:fill="FFFFFF"/>
              <w:spacing w:line="240" w:lineRule="auto"/>
              <w:contextualSpacing w:val="0"/>
              <w:rPr>
                <w:rFonts w:ascii="Times New Roman" w:hAnsi="Times New Roman"/>
                <w:i/>
                <w:sz w:val="20"/>
                <w:szCs w:val="20"/>
              </w:rPr>
            </w:pPr>
            <w:r w:rsidRPr="00D60728">
              <w:rPr>
                <w:rFonts w:ascii="Times New Roman" w:hAnsi="Times New Roman"/>
                <w:i/>
                <w:sz w:val="20"/>
                <w:szCs w:val="20"/>
              </w:rPr>
              <w:t>Radovi na uspostavi sustavi realnog praćenja potrošnje mineralnih gnojiva na gospodarstvima i ostvarenih prinosa</w:t>
            </w:r>
          </w:p>
          <w:p w:rsidR="00BA77D2" w:rsidRPr="00D60728" w:rsidRDefault="00BA77D2" w:rsidP="00BF7DCC">
            <w:pPr>
              <w:pStyle w:val="ListParagraph"/>
              <w:numPr>
                <w:ilvl w:val="0"/>
                <w:numId w:val="17"/>
              </w:numPr>
              <w:shd w:val="clear" w:color="auto" w:fill="FFFFFF"/>
              <w:spacing w:line="240" w:lineRule="auto"/>
              <w:contextualSpacing w:val="0"/>
              <w:rPr>
                <w:rFonts w:ascii="Times New Roman" w:hAnsi="Times New Roman"/>
                <w:i/>
                <w:sz w:val="20"/>
                <w:szCs w:val="20"/>
              </w:rPr>
            </w:pPr>
            <w:r w:rsidRPr="00D60728">
              <w:rPr>
                <w:rFonts w:ascii="Times New Roman" w:hAnsi="Times New Roman"/>
                <w:i/>
                <w:sz w:val="20"/>
                <w:szCs w:val="20"/>
              </w:rPr>
              <w:t>Unaprjeđenje sustava za proračun emisije stakleničkih plinova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Hrvatska poljoprivredna agencija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zavod za statistiku</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63" w:type="dxa"/>
            <w:gridSpan w:val="2"/>
            <w:vAlign w:val="center"/>
          </w:tcPr>
          <w:p w:rsidR="00BA77D2" w:rsidRPr="00D60728" w:rsidRDefault="00BA77D2" w:rsidP="00BF7DCC">
            <w:pPr>
              <w:spacing w:line="240" w:lineRule="auto"/>
              <w:rPr>
                <w:rFonts w:ascii="Times New Roman" w:hAnsi="Times New Roman"/>
                <w:bCs/>
                <w:i/>
                <w:color w:val="000000"/>
                <w:sz w:val="20"/>
                <w:szCs w:val="20"/>
              </w:rPr>
            </w:pPr>
            <w:r w:rsidRPr="00D60728">
              <w:rPr>
                <w:rFonts w:ascii="Times New Roman" w:hAnsi="Times New Roman"/>
                <w:bCs/>
                <w:i/>
                <w:color w:val="000000"/>
                <w:sz w:val="20"/>
                <w:szCs w:val="20"/>
              </w:rPr>
              <w:t>50.000.000 kn</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2F0DA4">
        <w:trPr>
          <w:trHeight w:val="1382"/>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1"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38"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25"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Za procjenu potencijalnog smanjenja emisije potrebna su sustavna istraživanja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Merge/>
            <w:vAlign w:val="center"/>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tcPr>
          <w:p w:rsidR="00BA77D2" w:rsidRPr="00D60728" w:rsidRDefault="00BA77D2" w:rsidP="00BF7DCC">
            <w:pPr>
              <w:pStyle w:val="ListParagraph"/>
              <w:numPr>
                <w:ilvl w:val="0"/>
                <w:numId w:val="16"/>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Povećani prihod korisnika novih tehnologija</w:t>
            </w:r>
          </w:p>
          <w:p w:rsidR="00BA77D2" w:rsidRPr="00D60728" w:rsidRDefault="00BA77D2" w:rsidP="00BF7DCC">
            <w:pPr>
              <w:pStyle w:val="ListParagraph"/>
              <w:numPr>
                <w:ilvl w:val="0"/>
                <w:numId w:val="16"/>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Ušteda poljoprivrednika u primjeni gnojiva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završenih  projekata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r w:rsidR="00BA77D2" w:rsidRPr="00D60728" w:rsidTr="002F0DA4">
        <w:trPr>
          <w:trHeight w:val="454"/>
        </w:trPr>
        <w:tc>
          <w:tcPr>
            <w:tcW w:w="389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MAG-6, MAG-7, MAG-8</w:t>
            </w:r>
          </w:p>
        </w:tc>
      </w:tr>
    </w:tbl>
    <w:p w:rsidR="00BA77D2" w:rsidRPr="00D60728" w:rsidRDefault="00BA77D2" w:rsidP="00BF7DCC">
      <w:pPr>
        <w:spacing w:line="240" w:lineRule="auto"/>
        <w:rPr>
          <w:sz w:val="20"/>
          <w:szCs w:val="20"/>
        </w:rPr>
      </w:pPr>
      <w:r w:rsidRPr="00D60728">
        <w:rPr>
          <w:sz w:val="20"/>
          <w:szCs w:val="20"/>
        </w:rPr>
        <w:br w:type="page"/>
      </w:r>
    </w:p>
    <w:tbl>
      <w:tblPr>
        <w:tblStyle w:val="TableGrid"/>
        <w:tblW w:w="5000" w:type="pct"/>
        <w:tblLook w:val="04A0" w:firstRow="1" w:lastRow="0" w:firstColumn="1" w:lastColumn="0" w:noHBand="0" w:noVBand="1"/>
      </w:tblPr>
      <w:tblGrid>
        <w:gridCol w:w="1956"/>
        <w:gridCol w:w="1941"/>
        <w:gridCol w:w="2738"/>
        <w:gridCol w:w="2425"/>
      </w:tblGrid>
      <w:tr w:rsidR="00BA77D2" w:rsidRPr="006D54B7" w:rsidTr="002F0DA4">
        <w:trPr>
          <w:trHeight w:val="454"/>
        </w:trPr>
        <w:tc>
          <w:tcPr>
            <w:tcW w:w="3897"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lastRenderedPageBreak/>
              <w:t>Naziv mjere</w:t>
            </w:r>
          </w:p>
        </w:tc>
        <w:tc>
          <w:tcPr>
            <w:tcW w:w="5163"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Poboljšanje metoda primjene organskih gnojiva</w:t>
            </w:r>
          </w:p>
        </w:tc>
      </w:tr>
      <w:tr w:rsidR="00BA77D2" w:rsidRPr="00D60728" w:rsidTr="002F0DA4">
        <w:trPr>
          <w:trHeight w:val="454"/>
        </w:trPr>
        <w:tc>
          <w:tcPr>
            <w:tcW w:w="389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MAG-10</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ign w:val="center"/>
            <w:hideMark/>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Istraživanja povećanja sekvestracije ugljika u tlu unaprijeđenjem metodologije primjene organskih gnojiva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Primjena organskih gnojiva važna je za promet organske tvari u tlu, o čemu postoji razmjerno velika baza podataka na globalnoj Nažalost, u Hrvatskoj nema tako dugotrajnih stacionarnih istraživanja na poljoprivrednim tlima. Bertić i sur. (1998.) utvrdili na nekim tlima u Baranji određene promjene u sadržaju humusa tijekom 24-godišnjeg razdoblja intenzivne biljne proizvodnje  od 1967. do 1990. godine.  Na gotovo svim tlima sadržaj humusa se povećao (0,1-1,64%), ovisno o količinama korištenog krutog stajskog gnoja.</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Organska gnojiva puno jače potiču aktivnost mikroba tla u odnosu na mineralna gnojiva i njima se unosi u tlo mnogo manje soli i kiselina. Učinkovitost ovisi o mikrobiološkoj aktivnosti u tlu, odnosno kojom brzinom se razgrađuju u i transformiraju do hraniva pogodnih za usvajanje. Organska gnojiva imaju puno dulji vrijeme ragradnje pa se njihov učinak proteže na više godina. Redovita primjena organskih gnojiva, povećava količinu humusa u tlu, poboljšava svojstva tla, posebice strukturu što ima za posljedicu bolji vodnozračni odnos, veću retenciju vode, veću raspoloživost svih hraniva te jača otpornost na eroziju na nagnutim površinama.</w:t>
            </w:r>
          </w:p>
          <w:p w:rsidR="00BA77D2" w:rsidRPr="00D60728" w:rsidRDefault="00BA77D2" w:rsidP="00BF7DCC">
            <w:pPr>
              <w:spacing w:line="240" w:lineRule="auto"/>
              <w:rPr>
                <w:rFonts w:ascii="Times New Roman" w:hAnsi="Times New Roman"/>
                <w:bCs/>
                <w:i/>
                <w:sz w:val="20"/>
                <w:szCs w:val="20"/>
              </w:rPr>
            </w:pPr>
            <w:r w:rsidRPr="00D60728">
              <w:rPr>
                <w:rFonts w:ascii="Times New Roman" w:hAnsi="Times New Roman"/>
                <w:i/>
                <w:sz w:val="20"/>
                <w:szCs w:val="20"/>
              </w:rPr>
              <w:t>P</w:t>
            </w:r>
            <w:r w:rsidRPr="00D60728">
              <w:rPr>
                <w:rFonts w:ascii="Times New Roman" w:hAnsi="Times New Roman"/>
                <w:bCs/>
                <w:i/>
                <w:sz w:val="20"/>
                <w:szCs w:val="20"/>
              </w:rPr>
              <w:t>odzemnom primjenom - direktnim ubrizgavanje u tlo korištenjem injektora se sprječava gubitak amonijaka te smanjuje ili u potpunosti uklanja širenje neugodnog mirisa. Metoda je p</w:t>
            </w:r>
            <w:r w:rsidRPr="00D60728">
              <w:rPr>
                <w:rFonts w:ascii="Times New Roman" w:hAnsi="Times New Roman"/>
                <w:i/>
                <w:sz w:val="20"/>
                <w:szCs w:val="20"/>
              </w:rPr>
              <w:t xml:space="preserve">rimjenjiva kod aplikacije tekućeg oblika goveđeg i svinjskog gnoja, pri čemu je emisija NH3 niža do 30%.  </w:t>
            </w:r>
          </w:p>
          <w:p w:rsidR="00BA77D2" w:rsidRPr="00D60728" w:rsidRDefault="00BA77D2" w:rsidP="00BF7DCC">
            <w:pPr>
              <w:spacing w:line="240" w:lineRule="auto"/>
              <w:rPr>
                <w:rFonts w:ascii="Times New Roman" w:hAnsi="Times New Roman"/>
                <w:bCs/>
                <w:i/>
                <w:sz w:val="20"/>
                <w:szCs w:val="20"/>
              </w:rPr>
            </w:pPr>
            <w:r w:rsidRPr="00D60728">
              <w:rPr>
                <w:rFonts w:ascii="Times New Roman" w:hAnsi="Times New Roman"/>
                <w:bCs/>
                <w:i/>
                <w:sz w:val="20"/>
                <w:szCs w:val="20"/>
              </w:rPr>
              <w:t>Prilikom korištenja injektora, iako se smanjuje gubitak uslijed volatizacije odnosno povećava količina biljki dostupnog dušika, moguće je i povećanje gubitka didušikovog oksida iz tla. Stoga se dodatno povećava važnost pravilnog doziranja i primjene gnojiva (organskih i mineralnih).</w:t>
            </w:r>
          </w:p>
          <w:p w:rsidR="00BA77D2" w:rsidRPr="00D60728" w:rsidRDefault="00BA77D2" w:rsidP="00BF7DCC">
            <w:pPr>
              <w:spacing w:line="240" w:lineRule="auto"/>
              <w:rPr>
                <w:rFonts w:ascii="Times New Roman" w:hAnsi="Times New Roman"/>
                <w:bCs/>
                <w:i/>
                <w:sz w:val="20"/>
                <w:szCs w:val="20"/>
              </w:rPr>
            </w:pPr>
            <w:r w:rsidRPr="00D60728">
              <w:rPr>
                <w:rFonts w:ascii="Times New Roman" w:hAnsi="Times New Roman"/>
                <w:bCs/>
                <w:i/>
                <w:sz w:val="20"/>
                <w:szCs w:val="20"/>
              </w:rPr>
              <w:t xml:space="preserve">Ograničavajući faktor povećanja korištenja specijalizirane opreme za injektiranje organskog gnojiva je relativno visoka cijena same opreme, te je stoga takva investicija indicirana za veća (ili okrupnjena) gospodarstva s potrebama za velikim kapacitetima pognojavanja. </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63"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Poljoprivrednici (stočari) -  uzgajivači životinja</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63" w:type="dxa"/>
            <w:gridSpan w:val="2"/>
            <w:vAlign w:val="center"/>
          </w:tcPr>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Uvođenje informacijskih tehnologija, daljinskih istraživanja s primjenom u poljoprivredi, te izrada karata plodnosti tla</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Monitoring promjena u tlu pri različitim načinima korištenja i primjene organskih gnojiva</w:t>
            </w:r>
          </w:p>
          <w:p w:rsidR="00BA77D2" w:rsidRPr="00D60728" w:rsidRDefault="00BA77D2" w:rsidP="00BF7DCC">
            <w:pPr>
              <w:shd w:val="clear" w:color="auto" w:fill="FFFFFF"/>
              <w:spacing w:line="240" w:lineRule="auto"/>
              <w:rPr>
                <w:rFonts w:ascii="Times New Roman" w:hAnsi="Times New Roman"/>
                <w:bCs/>
                <w:i/>
                <w:sz w:val="20"/>
                <w:szCs w:val="20"/>
              </w:rPr>
            </w:pPr>
            <w:r w:rsidRPr="00D60728">
              <w:rPr>
                <w:rFonts w:ascii="Times New Roman" w:hAnsi="Times New Roman"/>
                <w:i/>
                <w:sz w:val="20"/>
                <w:szCs w:val="20"/>
              </w:rPr>
              <w:t xml:space="preserve">Poticanje investiranja u sustave </w:t>
            </w:r>
            <w:r w:rsidRPr="00D60728">
              <w:rPr>
                <w:rFonts w:ascii="Times New Roman" w:hAnsi="Times New Roman"/>
                <w:bCs/>
                <w:i/>
                <w:sz w:val="20"/>
                <w:szCs w:val="20"/>
              </w:rPr>
              <w:t>direktnog ubrizgavanja u tlo</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Okrupnjavanje poljoprivrednog zemljišta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Hrvatska poljoprivredna agencija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lastRenderedPageBreak/>
              <w:t>Agencija za plaćanja u poljoprivredi, ribarstvu i ruralnom razvoju</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zavod za statistiku</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63" w:type="dxa"/>
            <w:gridSpan w:val="2"/>
            <w:vAlign w:val="center"/>
          </w:tcPr>
          <w:p w:rsidR="00BA77D2" w:rsidRPr="00D60728" w:rsidRDefault="00BA77D2" w:rsidP="00BF7DCC">
            <w:pPr>
              <w:spacing w:line="240" w:lineRule="auto"/>
              <w:rPr>
                <w:rFonts w:ascii="Times New Roman" w:hAnsi="Times New Roman"/>
                <w:bCs/>
                <w:i/>
                <w:color w:val="000000"/>
                <w:sz w:val="20"/>
                <w:szCs w:val="20"/>
              </w:rPr>
            </w:pPr>
            <w:r w:rsidRPr="00D60728">
              <w:rPr>
                <w:rFonts w:ascii="Times New Roman" w:hAnsi="Times New Roman"/>
                <w:bCs/>
                <w:i/>
                <w:color w:val="000000"/>
                <w:sz w:val="20"/>
                <w:szCs w:val="20"/>
              </w:rPr>
              <w:t>150.000.000 kn</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2F0DA4">
        <w:trPr>
          <w:trHeight w:val="1382"/>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1"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38"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25"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Za procjenu potencijalnog smanjenja emisije potrebna su sustavna istraživanja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Merge/>
            <w:vAlign w:val="center"/>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Povećani prihod korisnika novih tehnologija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istraživanja, projekata i monitoringa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r w:rsidR="00BA77D2" w:rsidRPr="00D60728" w:rsidTr="002F0DA4">
        <w:trPr>
          <w:trHeight w:val="454"/>
        </w:trPr>
        <w:tc>
          <w:tcPr>
            <w:tcW w:w="389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MAG-6, MAG-7, MAG-8</w:t>
            </w:r>
          </w:p>
        </w:tc>
      </w:tr>
    </w:tbl>
    <w:p w:rsidR="00BA77D2" w:rsidRPr="00D60728" w:rsidRDefault="00BA77D2" w:rsidP="00BF7DCC">
      <w:pPr>
        <w:spacing w:line="240" w:lineRule="auto"/>
        <w:rPr>
          <w:sz w:val="20"/>
          <w:szCs w:val="20"/>
        </w:rPr>
      </w:pPr>
    </w:p>
    <w:p w:rsidR="00BA77D2" w:rsidRPr="00D60728" w:rsidRDefault="00BA77D2" w:rsidP="00BF7DCC">
      <w:pPr>
        <w:spacing w:line="240" w:lineRule="auto"/>
        <w:rPr>
          <w:sz w:val="20"/>
          <w:szCs w:val="20"/>
        </w:rPr>
      </w:pPr>
    </w:p>
    <w:tbl>
      <w:tblPr>
        <w:tblStyle w:val="TableGrid"/>
        <w:tblW w:w="5000" w:type="pct"/>
        <w:tblLook w:val="04A0" w:firstRow="1" w:lastRow="0" w:firstColumn="1" w:lastColumn="0" w:noHBand="0" w:noVBand="1"/>
      </w:tblPr>
      <w:tblGrid>
        <w:gridCol w:w="1956"/>
        <w:gridCol w:w="1941"/>
        <w:gridCol w:w="2738"/>
        <w:gridCol w:w="2425"/>
      </w:tblGrid>
      <w:tr w:rsidR="00BA77D2" w:rsidRPr="006D54B7" w:rsidTr="006D54B7">
        <w:trPr>
          <w:trHeight w:val="454"/>
        </w:trPr>
        <w:tc>
          <w:tcPr>
            <w:tcW w:w="3897" w:type="dxa"/>
            <w:gridSpan w:val="2"/>
            <w:shd w:val="clear" w:color="auto" w:fill="D9D9D9" w:themeFill="background1" w:themeFillShade="D9"/>
            <w:vAlign w:val="center"/>
          </w:tcPr>
          <w:p w:rsidR="00BA77D2" w:rsidRPr="006D54B7" w:rsidRDefault="00BA77D2" w:rsidP="00BF7DCC">
            <w:pPr>
              <w:spacing w:line="240" w:lineRule="auto"/>
              <w:ind w:right="57"/>
              <w:rPr>
                <w:rFonts w:ascii="Times New Roman" w:hAnsi="Times New Roman"/>
                <w:b/>
                <w:iCs/>
                <w:sz w:val="20"/>
                <w:szCs w:val="20"/>
              </w:rPr>
            </w:pPr>
          </w:p>
        </w:tc>
        <w:tc>
          <w:tcPr>
            <w:tcW w:w="5163" w:type="dxa"/>
            <w:gridSpan w:val="2"/>
            <w:shd w:val="clear" w:color="auto" w:fill="D9D9D9" w:themeFill="background1" w:themeFillShade="D9"/>
            <w:vAlign w:val="center"/>
          </w:tcPr>
          <w:p w:rsidR="00BA77D2" w:rsidRPr="006D54B7" w:rsidRDefault="00BA77D2" w:rsidP="00BF7DCC">
            <w:pPr>
              <w:spacing w:line="240" w:lineRule="auto"/>
              <w:ind w:right="57"/>
              <w:rPr>
                <w:rFonts w:ascii="Times New Roman" w:hAnsi="Times New Roman"/>
                <w:b/>
                <w:i/>
                <w:iCs/>
                <w:sz w:val="20"/>
                <w:szCs w:val="20"/>
              </w:rPr>
            </w:pPr>
          </w:p>
        </w:tc>
      </w:tr>
      <w:tr w:rsidR="00BA77D2" w:rsidRPr="00D60728" w:rsidTr="002F0DA4">
        <w:trPr>
          <w:trHeight w:val="454"/>
        </w:trPr>
        <w:tc>
          <w:tcPr>
            <w:tcW w:w="389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MAG-11</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ign w:val="center"/>
            <w:hideMark/>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63" w:type="dxa"/>
            <w:gridSpan w:val="2"/>
            <w:vAlign w:val="center"/>
          </w:tcPr>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 xml:space="preserve">Definiranje potencijala i pogodnosti raznih agrošumarskih tehnologija s ciljem povećanja sekvestracije ugljika u tlu </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 xml:space="preserve">Agrošumarstvo ili šumsko poljodjelstvo (eng. "agroforestry") obuhvaća tehnologije koje se primjenjuju u šumarstvu i poljoprivredi s ciljem stvaranja veće proizvodnosti, ekonomske opravdanosti, ekološke prihvatljivosti i održivog korištenja zemljišta.  Agrošumarstvo je zajednički naziv za sustave gospodarenja zemljištem pri kojem se trajne drvenaste vrste integriraju s uzgojem usjeva i/ili životinja na istoj površinskoj jedinici . Integracija može biti prostornog karaktera ili u vremenskoj sekvenci. Uobičajena je ekološko-ekonomska interakcija između šumarske i poljoprivredne komponente. Cilj je stvaranje raznovrsnih, produktivnih, profitabilnih, zdravih i održivih sustava gospodarenja zemljištem. U većoj mjeri se iskorištava proizvodna sposobnost zemljišta, ali istovremeno postiže i ravnoteža između ekonomske opravdanosti i zaštite staništa na temeljima potrajnosti ili održivog razvoja. Istraživanja pokazuju da su, uz sve ostale prednosti, neki agrošumarski sustavi (npr. agrosilvakultura) značajni ponori ugljika. </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 xml:space="preserve">Agrošumarstvo u svijetu se primjenjuje na poljoprivrednom i šumskom zemljištu; uključujući područja s narušenim stanišnim uvjetima (erodibilna područja, ekonomski slabo vrednovana devastirana i degradirana područja. Putem pokusa pokazati agrošumarstvo treba pokazati svoju primjenjivost u našim uvjetima s obzirom na različite oblike i </w:t>
            </w:r>
            <w:r w:rsidRPr="00D60728">
              <w:rPr>
                <w:rFonts w:ascii="Times New Roman" w:hAnsi="Times New Roman"/>
                <w:i/>
                <w:sz w:val="20"/>
                <w:szCs w:val="20"/>
              </w:rPr>
              <w:lastRenderedPageBreak/>
              <w:t xml:space="preserve">podjele, ali i na različite potrebe. Bitno je istaknuti kako su neki elementi iz agrošumarstva zabilježeni kroz povijest na obalnom i priobalnom području naše zemlje. Prije svega obrada i kultiviranje zemljišta na terasama koje su korištene za podizanje višegodišnjih nasada; maslinika, vinograda, različitih voćaka i mogle su se ograničeno koristiti za stočarstvo. </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63"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 xml:space="preserve">Poljoprivrednici </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63" w:type="dxa"/>
            <w:gridSpan w:val="2"/>
            <w:vAlign w:val="center"/>
          </w:tcPr>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Istraživanja mogućnosti primjene agrošumarstva s identificiranjem pogodnih područja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zaštite okoliša i prirode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63" w:type="dxa"/>
            <w:gridSpan w:val="2"/>
            <w:vAlign w:val="center"/>
          </w:tcPr>
          <w:p w:rsidR="00BA77D2" w:rsidRPr="00D60728" w:rsidRDefault="00BA77D2" w:rsidP="00BF7DCC">
            <w:pPr>
              <w:spacing w:line="240" w:lineRule="auto"/>
              <w:rPr>
                <w:rFonts w:ascii="Times New Roman" w:hAnsi="Times New Roman"/>
                <w:bCs/>
                <w:i/>
                <w:color w:val="000000"/>
                <w:sz w:val="20"/>
                <w:szCs w:val="20"/>
              </w:rPr>
            </w:pPr>
            <w:r w:rsidRPr="00D60728">
              <w:rPr>
                <w:rFonts w:ascii="Times New Roman" w:hAnsi="Times New Roman"/>
                <w:bCs/>
                <w:i/>
                <w:color w:val="000000"/>
                <w:sz w:val="20"/>
                <w:szCs w:val="20"/>
              </w:rPr>
              <w:t>5.000.000 kn</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2F0DA4">
        <w:trPr>
          <w:trHeight w:val="1382"/>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1"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38"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25"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Za procjenu potencijalnog smanjenja emisije potrebna su sustavna istraživanja u u sektoru načina korištenja zemljišta </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Merge/>
            <w:vAlign w:val="center"/>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Veća proizvodnost, ekološka prihvatljivost i održivo korištenje zemljište.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istraživačkih projekata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r w:rsidR="00BA77D2" w:rsidRPr="00D60728" w:rsidTr="002F0DA4">
        <w:trPr>
          <w:trHeight w:val="454"/>
        </w:trPr>
        <w:tc>
          <w:tcPr>
            <w:tcW w:w="389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MAG-9, MAG-10</w:t>
            </w:r>
          </w:p>
        </w:tc>
      </w:tr>
    </w:tbl>
    <w:p w:rsidR="00BA77D2" w:rsidRPr="00D60728" w:rsidRDefault="00BA77D2" w:rsidP="00BF7DCC">
      <w:pPr>
        <w:spacing w:line="240" w:lineRule="auto"/>
        <w:rPr>
          <w:sz w:val="20"/>
          <w:szCs w:val="20"/>
        </w:rPr>
      </w:pPr>
    </w:p>
    <w:p w:rsidR="00BA77D2" w:rsidRPr="00D60728" w:rsidRDefault="00BA77D2" w:rsidP="00BF7DCC">
      <w:pPr>
        <w:spacing w:line="240" w:lineRule="auto"/>
        <w:rPr>
          <w:sz w:val="20"/>
          <w:szCs w:val="20"/>
        </w:rPr>
      </w:pPr>
    </w:p>
    <w:tbl>
      <w:tblPr>
        <w:tblStyle w:val="TableGrid"/>
        <w:tblW w:w="5000" w:type="pct"/>
        <w:tblLook w:val="04A0" w:firstRow="1" w:lastRow="0" w:firstColumn="1" w:lastColumn="0" w:noHBand="0" w:noVBand="1"/>
      </w:tblPr>
      <w:tblGrid>
        <w:gridCol w:w="1956"/>
        <w:gridCol w:w="1941"/>
        <w:gridCol w:w="2738"/>
        <w:gridCol w:w="2425"/>
      </w:tblGrid>
      <w:tr w:rsidR="00BA77D2" w:rsidRPr="006D54B7" w:rsidTr="002F0DA4">
        <w:trPr>
          <w:trHeight w:val="454"/>
        </w:trPr>
        <w:tc>
          <w:tcPr>
            <w:tcW w:w="3897"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t>Naziv mjere</w:t>
            </w:r>
          </w:p>
        </w:tc>
        <w:tc>
          <w:tcPr>
            <w:tcW w:w="5163"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Hidromelioracijski zahvati i sustavi zaštite od nepogoda</w:t>
            </w:r>
          </w:p>
        </w:tc>
      </w:tr>
      <w:tr w:rsidR="00BA77D2" w:rsidRPr="00D60728" w:rsidTr="002F0DA4">
        <w:trPr>
          <w:trHeight w:val="454"/>
        </w:trPr>
        <w:tc>
          <w:tcPr>
            <w:tcW w:w="389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MAG-12</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ign w:val="center"/>
            <w:hideMark/>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Povećanje udjela poljoprivrednih tala pod navodnjavanjem i posljedično smanjenje procjeđivanja nitrata iz poljoprivrednih tala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Poljoprivreda više negoli ijedna druga djelatnost vodu onečišćuje dušikom (nitratima), fosfatima i sredstvima za zaštitu bilja (pesticidima). Intenziviranje poljoprivrede dovelo je do intenziviranja agrokemijskog onečišćenja. Poljoprivreda prihvatljiva po okoliš po</w:t>
            </w:r>
            <w:r w:rsidR="00D3656D">
              <w:rPr>
                <w:rFonts w:ascii="Times New Roman" w:hAnsi="Times New Roman"/>
                <w:i/>
                <w:sz w:val="20"/>
                <w:szCs w:val="20"/>
              </w:rPr>
              <w:t>d</w:t>
            </w:r>
            <w:r w:rsidRPr="00D60728">
              <w:rPr>
                <w:rFonts w:ascii="Times New Roman" w:hAnsi="Times New Roman"/>
                <w:i/>
                <w:sz w:val="20"/>
                <w:szCs w:val="20"/>
              </w:rPr>
              <w:t xml:space="preserve">razumijeva kontroliranu primjenu mineralnih gnojiva, kontroliranu odvodnju, ponovno korištenje drenirane vode te korištenje vode odgovarajuće kvalitete. </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 xml:space="preserve">Navodnjavanjem većim obrocima nego što je to potrebno može se utjecati na povećano ispiranje hraniva iz obradivog horizonta, posebice dušika u dublje horizonte, što rezultira </w:t>
            </w:r>
            <w:r w:rsidRPr="00D60728">
              <w:rPr>
                <w:rFonts w:ascii="Times New Roman" w:hAnsi="Times New Roman"/>
                <w:i/>
                <w:sz w:val="20"/>
                <w:szCs w:val="20"/>
              </w:rPr>
              <w:lastRenderedPageBreak/>
              <w:t>potrebom za dodatnom gnojidbom a time i povećanom emisijom i povećanim troškovima. Drenaža ima funkciju odvodnje suvišne količine vode sa zelene površine, koja najčešće nastaje nakon obilne kiše. Također, promjena vodozračnih odnosa tla utječe i na aktivnost korisnih mikroorganizama</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Mikroorganizmi kod pravilnog navodnjavanja i odvodnje suvišne vode imaju pojačanu aktivnost koja smanjuje degradaciju tla, a time i gubitke CO2. Također je povećana aktivnost glista koje prenose ugljik u dublje slojeve gdje je dugotrajniji.</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 xml:space="preserve">U Hrvatskoj su izgrađeni sustavi površinske odvodnje na oko 1050000ha, a sustavi podzemne odvodnje na oko </w:t>
            </w:r>
            <w:smartTag w:uri="urn:schemas-microsoft-com:office:smarttags" w:element="metricconverter">
              <w:smartTagPr>
                <w:attr w:name="ProductID" w:val="149000 ha"/>
              </w:smartTagPr>
              <w:r w:rsidRPr="00D60728">
                <w:rPr>
                  <w:rFonts w:ascii="Times New Roman" w:hAnsi="Times New Roman"/>
                  <w:i/>
                  <w:sz w:val="20"/>
                  <w:szCs w:val="20"/>
                </w:rPr>
                <w:t>149000 ha</w:t>
              </w:r>
            </w:smartTag>
            <w:r w:rsidRPr="00D60728">
              <w:rPr>
                <w:rFonts w:ascii="Times New Roman" w:hAnsi="Times New Roman"/>
                <w:i/>
                <w:sz w:val="20"/>
                <w:szCs w:val="20"/>
              </w:rPr>
              <w:t>. Starost većeg djela sustava pri tome iznosi preko 25 godina.</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Hidromelioracijski sustavi imaju veliku ulogu u održivom razvoju. Potrebno značajno poboljšati osobine postojećih hidromelioracijskih sustava. Ljudske intervencije u kontroli vode sadrže primjenu tehnologija i novo upravljanje za osiguranje odgovarajućih količina vode za biljke; sprječavanje prevlaživanja i zaslanjivanja tla; zaštita tla od poplavljivanja i maksimaliziranje dobiti korištenjem vode. Ove intervencije se ostvaruju u okviru ekonomskih, društvenih i okolišnih ograničenja.</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Hrvatska je u dobroj poziciji jer ima dovoljne količine vode, no u</w:t>
            </w:r>
            <w:r w:rsidR="009B4BDC">
              <w:rPr>
                <w:rFonts w:ascii="Times New Roman" w:hAnsi="Times New Roman"/>
                <w:i/>
                <w:sz w:val="20"/>
                <w:szCs w:val="20"/>
              </w:rPr>
              <w:t>s</w:t>
            </w:r>
            <w:r w:rsidRPr="00D60728">
              <w:rPr>
                <w:rFonts w:ascii="Times New Roman" w:hAnsi="Times New Roman"/>
                <w:i/>
                <w:sz w:val="20"/>
                <w:szCs w:val="20"/>
              </w:rPr>
              <w:t>pješne tehnološke inovacije u sustavima odvodnje i navodnjavanja ovise u znatnoj mjeri o istraživačkim programima i obrazovanju kadra u sektoru. Glavni su ciljevi dakle rast poljoprivredne proizvodnje i održivost sustava.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63"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 xml:space="preserve">Poljoprivrednici </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Istraživački programi poboljšanja osobine postojećih hidromelioracijskih sustava</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Izgradnja sustava za navodnjavanje</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obrazovanje kadra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63" w:type="dxa"/>
            <w:gridSpan w:val="2"/>
            <w:vAlign w:val="center"/>
          </w:tcPr>
          <w:p w:rsidR="00BA77D2" w:rsidRPr="00D60728" w:rsidRDefault="00BA77D2" w:rsidP="00BF7DCC">
            <w:pPr>
              <w:spacing w:line="240" w:lineRule="auto"/>
              <w:rPr>
                <w:rFonts w:ascii="Times New Roman" w:hAnsi="Times New Roman"/>
                <w:bCs/>
                <w:i/>
                <w:color w:val="000000"/>
                <w:sz w:val="20"/>
                <w:szCs w:val="20"/>
              </w:rPr>
            </w:pPr>
            <w:r w:rsidRPr="00D60728">
              <w:rPr>
                <w:rFonts w:ascii="Times New Roman" w:hAnsi="Times New Roman"/>
                <w:bCs/>
                <w:i/>
                <w:color w:val="000000"/>
                <w:sz w:val="20"/>
                <w:szCs w:val="20"/>
              </w:rPr>
              <w:t>30.000.000 kn</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2F0DA4">
        <w:trPr>
          <w:trHeight w:val="1382"/>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1"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38"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25"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Do 2030: 22 </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Merge/>
            <w:vAlign w:val="center"/>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Smanjeni gubici i optimiranje proizvodnje, veća konkurentnost, ekološka prihvatljivost uz smanjenje agrokemijskog onečišćenja, i održivo korištenje zemljišta, prilagodba klimatskim promjenama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istraživačkih programa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edukacijskih programa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Statistički podaci o poljoprivrednim površinama pod navodnjavanjem</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r w:rsidR="00BA77D2" w:rsidRPr="00D60728" w:rsidTr="002F0DA4">
        <w:trPr>
          <w:trHeight w:val="454"/>
        </w:trPr>
        <w:tc>
          <w:tcPr>
            <w:tcW w:w="389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bl>
    <w:p w:rsidR="00BA77D2" w:rsidRPr="00D60728" w:rsidRDefault="00BA77D2" w:rsidP="00BF7DCC">
      <w:pPr>
        <w:spacing w:line="240" w:lineRule="auto"/>
        <w:rPr>
          <w:sz w:val="20"/>
          <w:szCs w:val="20"/>
        </w:rPr>
      </w:pPr>
    </w:p>
    <w:tbl>
      <w:tblPr>
        <w:tblStyle w:val="TableGrid"/>
        <w:tblW w:w="5000" w:type="pct"/>
        <w:tblLook w:val="04A0" w:firstRow="1" w:lastRow="0" w:firstColumn="1" w:lastColumn="0" w:noHBand="0" w:noVBand="1"/>
      </w:tblPr>
      <w:tblGrid>
        <w:gridCol w:w="1956"/>
        <w:gridCol w:w="1941"/>
        <w:gridCol w:w="2738"/>
        <w:gridCol w:w="2425"/>
      </w:tblGrid>
      <w:tr w:rsidR="00BA77D2" w:rsidRPr="006D54B7" w:rsidTr="002F0DA4">
        <w:trPr>
          <w:trHeight w:val="454"/>
        </w:trPr>
        <w:tc>
          <w:tcPr>
            <w:tcW w:w="3897"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t>Naziv mjere</w:t>
            </w:r>
          </w:p>
        </w:tc>
        <w:tc>
          <w:tcPr>
            <w:tcW w:w="5163"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Uvođenje novih kultivara, sorti i kultura</w:t>
            </w:r>
          </w:p>
        </w:tc>
      </w:tr>
      <w:tr w:rsidR="00BA77D2" w:rsidRPr="00D60728" w:rsidTr="002F0DA4">
        <w:trPr>
          <w:trHeight w:val="454"/>
        </w:trPr>
        <w:tc>
          <w:tcPr>
            <w:tcW w:w="389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MAG-13</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ign w:val="center"/>
            <w:hideMark/>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Određivanje potencijala novih kultivara, sorti i kultura za povećanje sekvestracije ugljika u tlu</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Introdukcija novih kultivara, sorti i kultura načelno spada pod mjere hitne adaptacije (po UNDPu) – odnosno vremenski kritične mjere koje podrazumijevaju i implementaciju sustava kao obrambenu mjeru od utjecaja klimatskih promjena na proizvodnju hrane odnosno postizanja manjih emisija.</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U tom kontekstu, bitno je poticanje razvoja, edukacije i implementacije tehnologija na državnoj i regionalnoj razini, uključujući i i poticanje prelaska i adaptacije proizvođača (ali i potrošača, dakle cijelog proizvodnog lanca) na proizvodnju novih poljoprivrednih kultura, ili omogućavanjem i poticanjem primjene kultivara i sorti koji su otporniji na sušu ili bolesti, imaju manji ugljični otisak ili imaju drugi benefit.</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Primjer moguće strategija je i racionalnija proizvodnja i uporaba novih leguminoznih kultura kao odgovor na manjak proteina u stočnoj hrani, potrebu za smanjenjem primjene mineralnih gnojiva te na opadanje plodnosti tla.</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Leguminoze zbog znatnih količina proteina u svojim prirodima trebaju i veću količinu N, mogu veliki dio (ili kompletnu potrebu) tog hraniva osigurati iz atmosfere putem biološke fiksacije, pod uvjetom da žive u simbiozi s efektivnim sojevima kvržičnih bakterija. Upravo iz navedenih razloga u posljednje vrijeme se istražuju do sada malo proučene biljne vrste koje imaju sposobnost simbiotskog odnosa s kvržičnim bakterijama, kao što je Galega orientalis Lam., nova višegodišnja krmna leguminoza koja živi u efektivnoj simbiozi s Rhizobium galegae.</w:t>
            </w:r>
          </w:p>
          <w:p w:rsidR="00BA77D2" w:rsidRPr="00D60728" w:rsidRDefault="00BA77D2" w:rsidP="00BF7DCC">
            <w:pPr>
              <w:shd w:val="clear" w:color="auto" w:fill="FFFFFF"/>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Glavna prednost uzgoja Galega orientalis Lam. je gotovo isključivo korištenje simbiotski vezanog elementarnog dušika, a ne N iz mineralnih gnojiva ili malih doza «početnog» mineralnog N do 40 kg/ha. Galega kao nova leguminoza je interesantna zbog dugovječnosti (7-15 god), otpornosti (tip tla, suša, temperatura); jedna je od najranijih leguminoza, sadrži visokovrijedne proteine (1,5-2 t/ha); predstavlja izvrstan izbor stočne hrane (u zelenom obliku, peletriranom, sjeniranom ili silirana), prinos zrna 3-6 puta veći negoli u lucerne; cijena gnojidbe i sjemena je niska.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63"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Poljoprivrednici (uzgajivači kultura za stočnu hrane)</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 xml:space="preserve">Istraživački programi primjene novih kultura leguminoza </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63" w:type="dxa"/>
            <w:gridSpan w:val="2"/>
            <w:vAlign w:val="center"/>
          </w:tcPr>
          <w:p w:rsidR="00BA77D2" w:rsidRPr="00D60728" w:rsidRDefault="00BA77D2" w:rsidP="00BF7DCC">
            <w:pPr>
              <w:spacing w:line="240" w:lineRule="auto"/>
              <w:rPr>
                <w:rFonts w:ascii="Times New Roman" w:hAnsi="Times New Roman"/>
                <w:bCs/>
                <w:i/>
                <w:color w:val="000000"/>
                <w:sz w:val="20"/>
                <w:szCs w:val="20"/>
              </w:rPr>
            </w:pPr>
            <w:r w:rsidRPr="00D60728">
              <w:rPr>
                <w:rFonts w:ascii="Times New Roman" w:hAnsi="Times New Roman"/>
                <w:bCs/>
                <w:i/>
                <w:color w:val="000000"/>
                <w:sz w:val="20"/>
                <w:szCs w:val="20"/>
              </w:rPr>
              <w:t>3.000.000 kn</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lastRenderedPageBreak/>
              <w:t>Državni proračun Republike Hrvatske</w:t>
            </w:r>
          </w:p>
        </w:tc>
      </w:tr>
      <w:tr w:rsidR="00BA77D2" w:rsidRPr="00D60728" w:rsidTr="002F0DA4">
        <w:trPr>
          <w:trHeight w:val="1382"/>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lastRenderedPageBreak/>
              <w:t>Praćenje provedbe</w:t>
            </w:r>
          </w:p>
        </w:tc>
        <w:tc>
          <w:tcPr>
            <w:tcW w:w="1941"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38"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25"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Za procjenu potencijalnog smanjenja emisije potrebna su sustavna istraživanja </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Merge/>
            <w:vAlign w:val="center"/>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Veća proizvodnost, ekološka prihvatljivost i održivo korištenje zemljišta.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istraživanja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r w:rsidR="00BA77D2" w:rsidRPr="00D60728" w:rsidTr="002F0DA4">
        <w:trPr>
          <w:trHeight w:val="454"/>
        </w:trPr>
        <w:tc>
          <w:tcPr>
            <w:tcW w:w="389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bl>
    <w:p w:rsidR="00BA77D2" w:rsidRPr="00D60728" w:rsidRDefault="00BA77D2" w:rsidP="00BF7DCC">
      <w:pPr>
        <w:spacing w:line="240" w:lineRule="auto"/>
        <w:rPr>
          <w:sz w:val="20"/>
          <w:szCs w:val="20"/>
        </w:rPr>
      </w:pPr>
    </w:p>
    <w:tbl>
      <w:tblPr>
        <w:tblStyle w:val="TableGrid"/>
        <w:tblW w:w="5000" w:type="pct"/>
        <w:tblLook w:val="04A0" w:firstRow="1" w:lastRow="0" w:firstColumn="1" w:lastColumn="0" w:noHBand="0" w:noVBand="1"/>
      </w:tblPr>
      <w:tblGrid>
        <w:gridCol w:w="1956"/>
        <w:gridCol w:w="1941"/>
        <w:gridCol w:w="2738"/>
        <w:gridCol w:w="2425"/>
      </w:tblGrid>
      <w:tr w:rsidR="00BA77D2" w:rsidRPr="006D54B7" w:rsidTr="002F0DA4">
        <w:trPr>
          <w:trHeight w:val="454"/>
        </w:trPr>
        <w:tc>
          <w:tcPr>
            <w:tcW w:w="3897"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t>Naziv mjere</w:t>
            </w:r>
          </w:p>
        </w:tc>
        <w:tc>
          <w:tcPr>
            <w:tcW w:w="5163"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Promjena načina prehrane ljudi</w:t>
            </w:r>
          </w:p>
        </w:tc>
      </w:tr>
      <w:tr w:rsidR="00BA77D2" w:rsidRPr="00D60728" w:rsidTr="002F0DA4">
        <w:trPr>
          <w:trHeight w:val="454"/>
        </w:trPr>
        <w:tc>
          <w:tcPr>
            <w:tcW w:w="389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MAG-14</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ign w:val="center"/>
            <w:hideMark/>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2025.</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Prikupljanje podataka o potencijalu smanjenja emisija stakleničkih plinova uslijed promjena načina prehrane</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 xml:space="preserve">Neučinkovitost proizvodnje žitarica kao stočne hrane kao i direktna emisija metana iz crijevne fermentacije preživača znače da je emisija stakleničkih plinova značajno veća kod proizvodnje namirnice životinjskog podrijetla u odnosu na namirnice biljnog podrijetla. </w:t>
            </w:r>
            <w:r w:rsidRPr="009937A3">
              <w:rPr>
                <w:rFonts w:ascii="Times New Roman" w:hAnsi="Times New Roman"/>
                <w:i/>
                <w:sz w:val="20"/>
                <w:szCs w:val="20"/>
                <w:highlight w:val="yellow"/>
              </w:rPr>
              <w:t>Prelaskom značajnog dijela populacije na dijetu s manjim udjelom mesa (u korist ribe), vegetarijansku ili u potpunosti vegansku prehranu, moguće je ostvariti značajno smanjenje emisija</w:t>
            </w:r>
            <w:r w:rsidRPr="00D60728">
              <w:rPr>
                <w:rFonts w:ascii="Times New Roman" w:hAnsi="Times New Roman"/>
                <w:i/>
                <w:sz w:val="20"/>
                <w:szCs w:val="20"/>
              </w:rPr>
              <w:t xml:space="preserve"> – kako uslijed manje primjene mineralnih gnojiva (posljedično i manje dušikovih spojeva) potrebnih za proizvodnju stočne hrane, tako i uslijed smanjenja emisija metana iz crijevne fe</w:t>
            </w:r>
            <w:r w:rsidR="009B4BDC">
              <w:rPr>
                <w:rFonts w:ascii="Times New Roman" w:hAnsi="Times New Roman"/>
                <w:i/>
                <w:sz w:val="20"/>
                <w:szCs w:val="20"/>
              </w:rPr>
              <w:t>r</w:t>
            </w:r>
            <w:r w:rsidRPr="00D60728">
              <w:rPr>
                <w:rFonts w:ascii="Times New Roman" w:hAnsi="Times New Roman"/>
                <w:i/>
                <w:sz w:val="20"/>
                <w:szCs w:val="20"/>
              </w:rPr>
              <w:t>mentacije stoke. Dodatne su koristi značajno manji utrošak vode kao i goriva u poljoprivrednoj proizvodnji.</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 xml:space="preserve">Navedene uštede emisija mogu se izraziti kao ugljični otisak pojedinca temeljem svih spomenutih faktora ovisno o njegovoj prehrani. </w:t>
            </w:r>
            <w:r w:rsidRPr="009937A3">
              <w:rPr>
                <w:rFonts w:ascii="Times New Roman" w:hAnsi="Times New Roman"/>
                <w:i/>
                <w:sz w:val="20"/>
                <w:szCs w:val="20"/>
                <w:highlight w:val="yellow"/>
              </w:rPr>
              <w:t>Iako Republika Hrvatska spada u zemlje s manjom potrošnjom mesa, ono i dalje predstavlja značajnu komponentu u prehrani prosječnog stanovnika.</w:t>
            </w:r>
            <w:r w:rsidRPr="00D60728">
              <w:rPr>
                <w:rFonts w:ascii="Times New Roman" w:hAnsi="Times New Roman"/>
                <w:i/>
                <w:sz w:val="20"/>
                <w:szCs w:val="20"/>
              </w:rPr>
              <w:t xml:space="preserve">  Tako će npr. emisija kilograma CO</w:t>
            </w:r>
            <w:r w:rsidRPr="00D60728">
              <w:rPr>
                <w:rFonts w:ascii="Times New Roman" w:hAnsi="Times New Roman"/>
                <w:i/>
                <w:sz w:val="20"/>
                <w:szCs w:val="20"/>
                <w:vertAlign w:val="subscript"/>
              </w:rPr>
              <w:t>2</w:t>
            </w:r>
            <w:r w:rsidRPr="00D60728">
              <w:rPr>
                <w:rFonts w:ascii="Times New Roman" w:hAnsi="Times New Roman"/>
                <w:i/>
                <w:sz w:val="20"/>
                <w:szCs w:val="20"/>
              </w:rPr>
              <w:t xml:space="preserve"> ekvivalenata kod odrasle osobe (uz dijetu od 2000 kcal, što je prosječna dnevna potreba za energijom iz hrane) čija prehrana sadrži značajan udio mesa (više od 100 grama na dan) iznosi od 5,66 do 7,19 kg na dan dok kod vegetarijanske ishrane to iznosi 2,89 kg ekvivalenata CO</w:t>
            </w:r>
            <w:r w:rsidRPr="00D60728">
              <w:rPr>
                <w:rFonts w:ascii="Times New Roman" w:hAnsi="Times New Roman"/>
                <w:i/>
                <w:sz w:val="20"/>
                <w:szCs w:val="20"/>
                <w:vertAlign w:val="subscript"/>
              </w:rPr>
              <w:t>2</w:t>
            </w:r>
            <w:r w:rsidRPr="00D60728">
              <w:rPr>
                <w:rFonts w:ascii="Times New Roman" w:hAnsi="Times New Roman"/>
                <w:i/>
                <w:sz w:val="20"/>
                <w:szCs w:val="20"/>
              </w:rPr>
              <w:t xml:space="preserve"> na dan. Procijenjeni ugljični </w:t>
            </w:r>
            <w:r w:rsidR="009B4BDC">
              <w:rPr>
                <w:rFonts w:ascii="Times New Roman" w:hAnsi="Times New Roman"/>
                <w:i/>
                <w:sz w:val="20"/>
                <w:szCs w:val="20"/>
              </w:rPr>
              <w:t>otisak</w:t>
            </w:r>
            <w:r w:rsidRPr="00D60728">
              <w:rPr>
                <w:rFonts w:ascii="Times New Roman" w:hAnsi="Times New Roman"/>
                <w:i/>
                <w:sz w:val="20"/>
                <w:szCs w:val="20"/>
              </w:rPr>
              <w:t xml:space="preserve"> stanovnika RH starijih od 10. godina iznosi oko 7.500 kilotona ekvivalenata CO</w:t>
            </w:r>
            <w:r w:rsidRPr="00D60728">
              <w:rPr>
                <w:rFonts w:ascii="Times New Roman" w:hAnsi="Times New Roman"/>
                <w:i/>
                <w:sz w:val="20"/>
                <w:szCs w:val="20"/>
                <w:vertAlign w:val="subscript"/>
              </w:rPr>
              <w:t>2</w:t>
            </w:r>
            <w:r w:rsidRPr="00D60728">
              <w:rPr>
                <w:rFonts w:ascii="Times New Roman" w:hAnsi="Times New Roman"/>
                <w:i/>
                <w:sz w:val="20"/>
                <w:szCs w:val="20"/>
              </w:rPr>
              <w:t xml:space="preserve"> za 2012. godinu. Pri tome treba napomenuti da Republika Hrvatska ne zadovoljava sve svoje potrebe za mesom, te da značajni dio crvenog mesa (i do 65% goveđeg odnosno 40% svinjskog mesa) dolazi iz uvoza. Stoga je ukupni prehrambeni ugljičnog otisak i veći od procijenjene ukupne emisije. Prvi </w:t>
            </w:r>
            <w:r w:rsidRPr="00D60728">
              <w:rPr>
                <w:rFonts w:ascii="Times New Roman" w:hAnsi="Times New Roman"/>
                <w:i/>
                <w:sz w:val="20"/>
                <w:szCs w:val="20"/>
              </w:rPr>
              <w:lastRenderedPageBreak/>
              <w:t>korak su svakako istraživanja o trenutnim prehrambenim navikama stanovnika RH.</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63"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Potrošači prehrambenih proizvoda</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Statistička i nutricionistička istraživanja prehrambenih navika stanovnika RH po regijama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zaštite okoliša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zavod za statistiku</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63" w:type="dxa"/>
            <w:gridSpan w:val="2"/>
            <w:vAlign w:val="center"/>
          </w:tcPr>
          <w:p w:rsidR="00BA77D2" w:rsidRPr="00D60728" w:rsidRDefault="00BA77D2" w:rsidP="00BF7DCC">
            <w:pPr>
              <w:spacing w:line="240" w:lineRule="auto"/>
              <w:rPr>
                <w:rFonts w:ascii="Times New Roman" w:hAnsi="Times New Roman"/>
                <w:bCs/>
                <w:i/>
                <w:color w:val="000000"/>
                <w:sz w:val="20"/>
                <w:szCs w:val="20"/>
              </w:rPr>
            </w:pPr>
            <w:r w:rsidRPr="00D60728">
              <w:rPr>
                <w:rFonts w:ascii="Times New Roman" w:hAnsi="Times New Roman"/>
                <w:bCs/>
                <w:i/>
                <w:color w:val="000000"/>
                <w:sz w:val="20"/>
                <w:szCs w:val="20"/>
              </w:rPr>
              <w:t>1.000.000 kn</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2F0DA4">
        <w:trPr>
          <w:trHeight w:val="1382"/>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1"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38"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25"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Za procjenu potencijalnog smanjenja emisije potrebna su sustavna istraživanja </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Merge/>
            <w:vAlign w:val="center"/>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istraživanja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r w:rsidR="00BA77D2" w:rsidRPr="00D60728" w:rsidTr="002F0DA4">
        <w:trPr>
          <w:trHeight w:val="454"/>
        </w:trPr>
        <w:tc>
          <w:tcPr>
            <w:tcW w:w="389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bl>
    <w:p w:rsidR="00BA77D2" w:rsidRPr="00D60728" w:rsidRDefault="00BA77D2" w:rsidP="00BF7DCC">
      <w:pPr>
        <w:spacing w:line="240" w:lineRule="auto"/>
        <w:jc w:val="left"/>
        <w:rPr>
          <w:sz w:val="20"/>
          <w:szCs w:val="20"/>
        </w:rPr>
      </w:pPr>
    </w:p>
    <w:tbl>
      <w:tblPr>
        <w:tblStyle w:val="TableGrid"/>
        <w:tblW w:w="0" w:type="auto"/>
        <w:tblLook w:val="04A0" w:firstRow="1" w:lastRow="0" w:firstColumn="1" w:lastColumn="0" w:noHBand="0" w:noVBand="1"/>
      </w:tblPr>
      <w:tblGrid>
        <w:gridCol w:w="1903"/>
        <w:gridCol w:w="1812"/>
        <w:gridCol w:w="2499"/>
        <w:gridCol w:w="2846"/>
      </w:tblGrid>
      <w:tr w:rsidR="00BA77D2" w:rsidRPr="006D54B7" w:rsidTr="00E667C3">
        <w:trPr>
          <w:trHeight w:val="454"/>
        </w:trPr>
        <w:tc>
          <w:tcPr>
            <w:tcW w:w="37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t>Naziv mjere</w:t>
            </w:r>
          </w:p>
        </w:tc>
        <w:tc>
          <w:tcPr>
            <w:tcW w:w="5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Sakupljanje i obrada poljoprivrednih nasada i ostataka za korištenje u energetske svrhe</w:t>
            </w:r>
          </w:p>
        </w:tc>
      </w:tr>
      <w:tr w:rsidR="00BA77D2" w:rsidRPr="00D60728" w:rsidTr="00E667C3">
        <w:trPr>
          <w:trHeight w:val="454"/>
        </w:trPr>
        <w:tc>
          <w:tcPr>
            <w:tcW w:w="371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MAG-15</w:t>
            </w:r>
          </w:p>
        </w:tc>
      </w:tr>
      <w:tr w:rsidR="00BA77D2" w:rsidRPr="00D60728" w:rsidTr="00E667C3">
        <w:trPr>
          <w:trHeight w:val="454"/>
        </w:trPr>
        <w:tc>
          <w:tcPr>
            <w:tcW w:w="1903" w:type="dxa"/>
            <w:vMerge w:val="restart"/>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Okolišna, ekonomska</w:t>
            </w:r>
          </w:p>
        </w:tc>
      </w:tr>
      <w:tr w:rsidR="00BA77D2" w:rsidRPr="00D60728" w:rsidTr="00E667C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1812" w:type="dxa"/>
            <w:vMerge w:val="restart"/>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E667C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E667C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Optimizacija prikupljanja orezane biomase trajnih nasada </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Optimizacija prikupljanje ratarske biomase</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Proizvodnja sigurno dostupne biomase.</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Aktivacija tala lošije kvalitete u Republici Hrvatskoj.</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Osiguranje niskougljičnog energenta tijekom procesa proizvodnje toplinske i/ili električne energije (povećanje udjela OIE,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r>
      <w:tr w:rsidR="00BA77D2" w:rsidRPr="00D60728" w:rsidTr="00E667C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Mjera uključuje uspostavu sabirno-logističkih centara za biomasu koristeći postojeću infrastrukturu kako bi se smanjio jedinični trošak proizvodnje proizvoda iz biomase. Sabirno-logistički centri imat će ulogu poveznice između poljoprivrednika koji posjeduje biomasu, prerade biomase u nove proizvode s većom dodanom vrijednosti, razvoja novih proizvoda te plasiranja tih novih proizvoda na tržište.</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Mjera uključuje aktivnosti:</w:t>
            </w:r>
          </w:p>
          <w:p w:rsidR="00BA77D2" w:rsidRPr="00D60728" w:rsidRDefault="00BA77D2" w:rsidP="00BF7DCC">
            <w:pPr>
              <w:pStyle w:val="ListParagraph"/>
              <w:numPr>
                <w:ilvl w:val="0"/>
                <w:numId w:val="20"/>
              </w:numPr>
              <w:spacing w:line="240" w:lineRule="auto"/>
              <w:ind w:left="568" w:hanging="284"/>
              <w:contextualSpacing w:val="0"/>
              <w:jc w:val="left"/>
              <w:rPr>
                <w:rFonts w:ascii="Times New Roman" w:hAnsi="Times New Roman"/>
                <w:i/>
                <w:sz w:val="20"/>
                <w:szCs w:val="20"/>
              </w:rPr>
            </w:pPr>
            <w:r w:rsidRPr="00D60728">
              <w:rPr>
                <w:rFonts w:ascii="Times New Roman" w:hAnsi="Times New Roman"/>
                <w:i/>
                <w:sz w:val="20"/>
                <w:szCs w:val="20"/>
              </w:rPr>
              <w:t>Prikupljanje orezane biomase trajnih nasada</w:t>
            </w:r>
          </w:p>
          <w:p w:rsidR="00BA77D2" w:rsidRPr="00D60728" w:rsidRDefault="00BA77D2" w:rsidP="00BF7DCC">
            <w:pPr>
              <w:pStyle w:val="ListParagraph"/>
              <w:numPr>
                <w:ilvl w:val="0"/>
                <w:numId w:val="20"/>
              </w:numPr>
              <w:spacing w:line="240" w:lineRule="auto"/>
              <w:ind w:left="568" w:hanging="284"/>
              <w:contextualSpacing w:val="0"/>
              <w:jc w:val="left"/>
              <w:rPr>
                <w:rFonts w:ascii="Times New Roman" w:hAnsi="Times New Roman"/>
                <w:i/>
                <w:sz w:val="20"/>
                <w:szCs w:val="20"/>
              </w:rPr>
            </w:pPr>
            <w:r w:rsidRPr="00D60728">
              <w:rPr>
                <w:rFonts w:ascii="Times New Roman" w:hAnsi="Times New Roman"/>
                <w:i/>
                <w:sz w:val="20"/>
                <w:szCs w:val="20"/>
              </w:rPr>
              <w:t>Prikupljanje ratarske biomase</w:t>
            </w:r>
          </w:p>
          <w:p w:rsidR="00BA77D2" w:rsidRPr="00D60728" w:rsidRDefault="00BA77D2" w:rsidP="00BF7DCC">
            <w:pPr>
              <w:pStyle w:val="ListParagraph"/>
              <w:numPr>
                <w:ilvl w:val="0"/>
                <w:numId w:val="20"/>
              </w:numPr>
              <w:spacing w:line="240" w:lineRule="auto"/>
              <w:ind w:left="568" w:hanging="284"/>
              <w:contextualSpacing w:val="0"/>
              <w:jc w:val="left"/>
              <w:rPr>
                <w:rFonts w:ascii="Times New Roman" w:hAnsi="Times New Roman"/>
                <w:i/>
                <w:sz w:val="20"/>
                <w:szCs w:val="20"/>
              </w:rPr>
            </w:pPr>
            <w:r w:rsidRPr="00D60728">
              <w:rPr>
                <w:rFonts w:ascii="Times New Roman" w:hAnsi="Times New Roman"/>
                <w:i/>
                <w:sz w:val="20"/>
                <w:szCs w:val="20"/>
              </w:rPr>
              <w:t>Potencijal brzorastućih kultura za potrebe energetske potrošnje (energetski nasadi)</w:t>
            </w:r>
          </w:p>
          <w:p w:rsidR="00BA77D2" w:rsidRPr="00D60728" w:rsidRDefault="00BA77D2" w:rsidP="00BF7DCC">
            <w:pPr>
              <w:pStyle w:val="ListParagraph"/>
              <w:numPr>
                <w:ilvl w:val="0"/>
                <w:numId w:val="20"/>
              </w:numPr>
              <w:spacing w:line="240" w:lineRule="auto"/>
              <w:ind w:left="568" w:hanging="284"/>
              <w:contextualSpacing w:val="0"/>
              <w:jc w:val="left"/>
              <w:rPr>
                <w:rFonts w:ascii="Times New Roman" w:hAnsi="Times New Roman"/>
                <w:i/>
                <w:iCs/>
                <w:sz w:val="20"/>
                <w:szCs w:val="20"/>
              </w:rPr>
            </w:pPr>
            <w:r w:rsidRPr="00D60728">
              <w:rPr>
                <w:rFonts w:ascii="Times New Roman" w:hAnsi="Times New Roman"/>
                <w:i/>
                <w:sz w:val="20"/>
                <w:szCs w:val="20"/>
              </w:rPr>
              <w:t>Dorada poljoprivredne biomase s ciljem proizvodnje toplinske i/ili električne energije</w:t>
            </w:r>
          </w:p>
          <w:p w:rsidR="00BA77D2" w:rsidRPr="00D60728" w:rsidRDefault="00BA77D2" w:rsidP="00BF7DCC">
            <w:pPr>
              <w:spacing w:line="240" w:lineRule="auto"/>
              <w:jc w:val="left"/>
              <w:rPr>
                <w:rFonts w:ascii="Times New Roman" w:hAnsi="Times New Roman"/>
                <w:i/>
                <w:iCs/>
                <w:sz w:val="20"/>
                <w:szCs w:val="20"/>
              </w:rPr>
            </w:pPr>
          </w:p>
        </w:tc>
      </w:tr>
      <w:tr w:rsidR="00BA77D2" w:rsidRPr="00D60728" w:rsidTr="00E667C3">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 xml:space="preserve">Uzgajivači voća, grožđa, maslina </w:t>
            </w:r>
          </w:p>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Proizvođači ratarskih kultura</w:t>
            </w:r>
          </w:p>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Proizvođači agro peleta/briketa</w:t>
            </w:r>
          </w:p>
        </w:tc>
      </w:tr>
      <w:tr w:rsidR="00BA77D2" w:rsidRPr="00D60728" w:rsidTr="00E667C3">
        <w:trPr>
          <w:trHeight w:val="454"/>
        </w:trPr>
        <w:tc>
          <w:tcPr>
            <w:tcW w:w="1903" w:type="dxa"/>
            <w:vMerge w:val="restart"/>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pStyle w:val="ListParagraph"/>
              <w:numPr>
                <w:ilvl w:val="0"/>
                <w:numId w:val="21"/>
              </w:numPr>
              <w:spacing w:line="240" w:lineRule="auto"/>
              <w:ind w:left="284" w:hanging="284"/>
              <w:contextualSpacing w:val="0"/>
              <w:jc w:val="left"/>
              <w:rPr>
                <w:rFonts w:ascii="Times New Roman" w:hAnsi="Times New Roman"/>
                <w:i/>
                <w:sz w:val="20"/>
                <w:szCs w:val="20"/>
                <w:lang w:eastAsia="hr-HR"/>
              </w:rPr>
            </w:pPr>
            <w:r w:rsidRPr="00D60728">
              <w:rPr>
                <w:rFonts w:ascii="Times New Roman" w:hAnsi="Times New Roman"/>
                <w:i/>
                <w:sz w:val="20"/>
                <w:szCs w:val="20"/>
                <w:lang w:eastAsia="hr-HR"/>
              </w:rPr>
              <w:t>Utvrditi točne lokacije intenzivnih  trajnih nasada hortikulturnih vrsta</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Ide</w:t>
            </w:r>
            <w:r w:rsidR="009B4BDC">
              <w:rPr>
                <w:rFonts w:ascii="Times New Roman" w:hAnsi="Times New Roman"/>
                <w:i/>
                <w:sz w:val="20"/>
                <w:szCs w:val="20"/>
                <w:lang w:eastAsia="hr-HR"/>
              </w:rPr>
              <w:t>n</w:t>
            </w:r>
            <w:r w:rsidRPr="00D60728">
              <w:rPr>
                <w:rFonts w:ascii="Times New Roman" w:hAnsi="Times New Roman"/>
                <w:i/>
                <w:sz w:val="20"/>
                <w:szCs w:val="20"/>
                <w:lang w:eastAsia="hr-HR"/>
              </w:rPr>
              <w:t>tificirati hortikulturne vrste i stvarni potencijal biomase</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Osigurati neophodnu tehniku za prikupljanje, manipulaciju i doradu biomase</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 xml:space="preserve">Optimizirati pozicioniranje distributivno sabirnih centara </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 xml:space="preserve">Optimizirati tokove materijala do distributivno sabirnih centara </w:t>
            </w:r>
          </w:p>
          <w:p w:rsidR="00BA77D2" w:rsidRPr="00D60728" w:rsidRDefault="00BA77D2" w:rsidP="00BF7DCC">
            <w:pPr>
              <w:spacing w:line="240" w:lineRule="auto"/>
              <w:ind w:left="284"/>
              <w:rPr>
                <w:rFonts w:ascii="Times New Roman" w:hAnsi="Times New Roman"/>
                <w:i/>
                <w:sz w:val="20"/>
                <w:szCs w:val="20"/>
              </w:rPr>
            </w:pPr>
            <w:r w:rsidRPr="00D60728">
              <w:rPr>
                <w:rFonts w:ascii="Times New Roman" w:hAnsi="Times New Roman"/>
                <w:i/>
                <w:sz w:val="20"/>
                <w:szCs w:val="20"/>
                <w:lang w:eastAsia="hr-HR"/>
              </w:rPr>
              <w:t xml:space="preserve">Projektiranje skladišno doradbenih kapaciteta </w:t>
            </w:r>
          </w:p>
          <w:p w:rsidR="00BA77D2" w:rsidRPr="00D60728" w:rsidRDefault="00BA77D2" w:rsidP="00BF7DCC">
            <w:pPr>
              <w:spacing w:line="240" w:lineRule="auto"/>
              <w:ind w:left="284"/>
              <w:rPr>
                <w:rFonts w:ascii="Times New Roman" w:hAnsi="Times New Roman"/>
                <w:i/>
                <w:sz w:val="20"/>
                <w:szCs w:val="20"/>
              </w:rPr>
            </w:pPr>
          </w:p>
          <w:p w:rsidR="00BA77D2" w:rsidRPr="00D60728" w:rsidRDefault="00BA77D2" w:rsidP="00BF7DCC">
            <w:pPr>
              <w:pStyle w:val="ListParagraph"/>
              <w:numPr>
                <w:ilvl w:val="0"/>
                <w:numId w:val="2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 xml:space="preserve">Utvrditi točne lokacije usjeva pod ratarskim kulturama </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Ide</w:t>
            </w:r>
            <w:r w:rsidR="009B4BDC">
              <w:rPr>
                <w:rFonts w:ascii="Times New Roman" w:hAnsi="Times New Roman"/>
                <w:i/>
                <w:sz w:val="20"/>
                <w:szCs w:val="20"/>
                <w:lang w:eastAsia="hr-HR"/>
              </w:rPr>
              <w:t>n</w:t>
            </w:r>
            <w:r w:rsidRPr="00D60728">
              <w:rPr>
                <w:rFonts w:ascii="Times New Roman" w:hAnsi="Times New Roman"/>
                <w:i/>
                <w:sz w:val="20"/>
                <w:szCs w:val="20"/>
                <w:lang w:eastAsia="hr-HR"/>
              </w:rPr>
              <w:t>tificirati ratarske kulture i stvarni potencijal biomase</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Osigurati neophodnu tehniku za prikupljanje, manipulaciju i doradu biomase</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 xml:space="preserve">Optimizirati pozicioniranje distributivno sabirnih centara </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 xml:space="preserve">Optimizirati tokove materijala do distributivno sabirnih centara </w:t>
            </w:r>
          </w:p>
          <w:p w:rsidR="00BA77D2" w:rsidRPr="00D60728" w:rsidRDefault="00BA77D2" w:rsidP="00BF7DCC">
            <w:pPr>
              <w:spacing w:line="240" w:lineRule="auto"/>
              <w:ind w:left="284"/>
              <w:rPr>
                <w:rFonts w:ascii="Times New Roman" w:hAnsi="Times New Roman"/>
                <w:i/>
                <w:sz w:val="20"/>
                <w:szCs w:val="20"/>
              </w:rPr>
            </w:pPr>
            <w:r w:rsidRPr="00D60728">
              <w:rPr>
                <w:rFonts w:ascii="Times New Roman" w:hAnsi="Times New Roman"/>
                <w:i/>
                <w:sz w:val="20"/>
                <w:szCs w:val="20"/>
                <w:lang w:eastAsia="hr-HR"/>
              </w:rPr>
              <w:t>Projektiranje skladišno doradbenih kapaciteta</w:t>
            </w:r>
          </w:p>
          <w:p w:rsidR="00BA77D2" w:rsidRPr="00D60728" w:rsidRDefault="00BA77D2" w:rsidP="00BF7DCC">
            <w:pPr>
              <w:spacing w:line="240" w:lineRule="auto"/>
              <w:ind w:left="284"/>
              <w:rPr>
                <w:rFonts w:ascii="Times New Roman" w:hAnsi="Times New Roman"/>
                <w:i/>
                <w:sz w:val="20"/>
                <w:szCs w:val="20"/>
              </w:rPr>
            </w:pPr>
          </w:p>
          <w:p w:rsidR="00BA77D2" w:rsidRPr="00D60728" w:rsidRDefault="00BA77D2" w:rsidP="00BF7DCC">
            <w:pPr>
              <w:pStyle w:val="ListParagraph"/>
              <w:numPr>
                <w:ilvl w:val="0"/>
                <w:numId w:val="2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 xml:space="preserve">Utvrditi točne lokacije i površine za uzgoj energetskih kultura </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Osigurati neophodnu tehniku za prikupljanje, manipulaciju i doradu biomase</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 xml:space="preserve">Optimizirati pozicioniranje distributivno sabirnih centara </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 xml:space="preserve">Optimizirati tokove materijala do distributivno sabirnih centara </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Projektiranje skladišno doradbenih kapaciteta</w:t>
            </w:r>
          </w:p>
          <w:p w:rsidR="00BA77D2" w:rsidRPr="00D60728" w:rsidRDefault="00BA77D2" w:rsidP="00BF7DCC">
            <w:pPr>
              <w:spacing w:line="240" w:lineRule="auto"/>
              <w:ind w:left="284"/>
              <w:rPr>
                <w:rFonts w:ascii="Times New Roman" w:hAnsi="Times New Roman"/>
                <w:i/>
                <w:sz w:val="20"/>
                <w:szCs w:val="20"/>
              </w:rPr>
            </w:pPr>
          </w:p>
          <w:p w:rsidR="00BA77D2" w:rsidRPr="00D60728" w:rsidRDefault="00BA77D2" w:rsidP="00BF7DCC">
            <w:pPr>
              <w:pStyle w:val="ListParagraph"/>
              <w:numPr>
                <w:ilvl w:val="0"/>
                <w:numId w:val="2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 xml:space="preserve">Optimizirati tokove materijala do skladišno doradbenih centara </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Pozicioniranje i projektiranje skladišno doradbenih kapaciteta za peletiranje/briketiranje biomase</w:t>
            </w:r>
          </w:p>
        </w:tc>
      </w:tr>
      <w:tr w:rsidR="00BA77D2" w:rsidRPr="00D60728" w:rsidTr="00E667C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Poduzeća s poljoprivrednom djelatnošću, Poduzeća za proizvodnju peleta i briketa, Poljoprivredna gospodarstva, Poljoprivredne zadruge i clusteri</w:t>
            </w:r>
          </w:p>
        </w:tc>
      </w:tr>
      <w:tr w:rsidR="00BA77D2" w:rsidRPr="00D60728" w:rsidTr="00E667C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Lokalna uprava i samouprava, Agencija za poljoprivredno zemljište, Agencija za plaćanje u poljoprivredi, Ministarstvo poljoprivrede, Ministarstvo zaštite okoliša i energ</w:t>
            </w:r>
            <w:r w:rsidR="009B4BDC">
              <w:rPr>
                <w:rFonts w:ascii="Times New Roman" w:hAnsi="Times New Roman"/>
                <w:i/>
                <w:iCs/>
                <w:sz w:val="20"/>
                <w:szCs w:val="20"/>
              </w:rPr>
              <w:t>e</w:t>
            </w:r>
            <w:r w:rsidRPr="00D60728">
              <w:rPr>
                <w:rFonts w:ascii="Times New Roman" w:hAnsi="Times New Roman"/>
                <w:i/>
                <w:iCs/>
                <w:sz w:val="20"/>
                <w:szCs w:val="20"/>
              </w:rPr>
              <w:t>tike</w:t>
            </w:r>
          </w:p>
        </w:tc>
      </w:tr>
      <w:tr w:rsidR="00BA77D2" w:rsidRPr="00D60728" w:rsidTr="00E667C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345" w:type="dxa"/>
            <w:gridSpan w:val="2"/>
            <w:tcBorders>
              <w:top w:val="single" w:sz="4" w:space="0" w:color="auto"/>
              <w:left w:val="single" w:sz="4" w:space="0" w:color="auto"/>
              <w:bottom w:val="single" w:sz="4" w:space="0" w:color="auto"/>
              <w:right w:val="single" w:sz="4" w:space="0" w:color="auto"/>
            </w:tcBorders>
            <w:vAlign w:val="center"/>
          </w:tcPr>
          <w:p w:rsidR="00BA77D2" w:rsidRPr="00D60728" w:rsidRDefault="00BA77D2" w:rsidP="00BF7DCC">
            <w:pPr>
              <w:spacing w:line="240" w:lineRule="auto"/>
              <w:rPr>
                <w:rFonts w:ascii="Times New Roman" w:hAnsi="Times New Roman"/>
                <w:i/>
                <w:iCs/>
                <w:sz w:val="20"/>
                <w:szCs w:val="20"/>
              </w:rPr>
            </w:pPr>
          </w:p>
        </w:tc>
      </w:tr>
      <w:tr w:rsidR="00BA77D2" w:rsidRPr="00D60728" w:rsidTr="006D54B7">
        <w:trPr>
          <w:trHeight w:val="1595"/>
        </w:trPr>
        <w:tc>
          <w:tcPr>
            <w:tcW w:w="1903" w:type="dxa"/>
            <w:vMerge w:val="restart"/>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499" w:type="dxa"/>
            <w:tcBorders>
              <w:top w:val="single" w:sz="4" w:space="0" w:color="auto"/>
              <w:left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CO2)</w:t>
            </w:r>
          </w:p>
        </w:tc>
        <w:tc>
          <w:tcPr>
            <w:tcW w:w="2846" w:type="dxa"/>
            <w:tcBorders>
              <w:top w:val="single" w:sz="4" w:space="0" w:color="auto"/>
              <w:left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Za procjenu potencijalnog smanjenja emisije potrebna su sustavna istraživanja</w:t>
            </w:r>
          </w:p>
        </w:tc>
      </w:tr>
      <w:tr w:rsidR="00BA77D2" w:rsidRPr="00D60728" w:rsidTr="00E667C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Kontinuirani monitoring provedbenih aktivnosti</w:t>
            </w:r>
          </w:p>
        </w:tc>
      </w:tr>
      <w:tr w:rsidR="00BA77D2" w:rsidRPr="00D60728" w:rsidTr="00E667C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Količina proizvedene odnosno energetski  iskorištene biomase</w:t>
            </w:r>
          </w:p>
        </w:tc>
      </w:tr>
      <w:tr w:rsidR="00BA77D2" w:rsidRPr="00D60728" w:rsidTr="00E667C3">
        <w:trPr>
          <w:trHeight w:val="454"/>
        </w:trPr>
        <w:tc>
          <w:tcPr>
            <w:tcW w:w="371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p>
        </w:tc>
      </w:tr>
    </w:tbl>
    <w:p w:rsidR="00F91FE1" w:rsidRPr="00D60728" w:rsidRDefault="00F91FE1" w:rsidP="006D54B7">
      <w:pPr>
        <w:pStyle w:val="Heading3"/>
        <w:spacing w:before="0" w:line="240" w:lineRule="auto"/>
        <w:ind w:left="0" w:firstLine="0"/>
        <w:rPr>
          <w:rFonts w:ascii="Times New Roman" w:hAnsi="Times New Roman" w:cs="Times New Roman"/>
        </w:rPr>
      </w:pPr>
      <w:bookmarkStart w:id="33" w:name="_Toc24621598"/>
      <w:bookmarkStart w:id="34" w:name="_Toc24632361"/>
      <w:bookmarkStart w:id="35" w:name="_Toc24634711"/>
      <w:bookmarkStart w:id="36" w:name="_Toc24702451"/>
      <w:bookmarkStart w:id="37" w:name="_Toc34147573"/>
      <w:r w:rsidRPr="00D60728">
        <w:rPr>
          <w:rFonts w:ascii="Times New Roman" w:hAnsi="Times New Roman" w:cs="Times New Roman"/>
        </w:rPr>
        <w:lastRenderedPageBreak/>
        <w:t>3.3.</w:t>
      </w:r>
      <w:r w:rsidR="0064574C" w:rsidRPr="00D60728">
        <w:rPr>
          <w:rFonts w:ascii="Times New Roman" w:hAnsi="Times New Roman" w:cs="Times New Roman"/>
        </w:rPr>
        <w:t>5</w:t>
      </w:r>
      <w:r w:rsidRPr="00D60728">
        <w:rPr>
          <w:rFonts w:ascii="Times New Roman" w:hAnsi="Times New Roman" w:cs="Times New Roman"/>
        </w:rPr>
        <w:t>.</w:t>
      </w:r>
      <w:r w:rsidRPr="00D60728">
        <w:rPr>
          <w:rFonts w:ascii="Times New Roman" w:hAnsi="Times New Roman" w:cs="Times New Roman"/>
        </w:rPr>
        <w:tab/>
        <w:t>Gospodarenje otpadom</w:t>
      </w:r>
      <w:bookmarkEnd w:id="33"/>
      <w:bookmarkEnd w:id="34"/>
      <w:bookmarkEnd w:id="35"/>
      <w:bookmarkEnd w:id="36"/>
      <w:bookmarkEnd w:id="37"/>
    </w:p>
    <w:p w:rsidR="0074468B" w:rsidRPr="00D60728" w:rsidRDefault="0074468B" w:rsidP="00BF7DCC">
      <w:pPr>
        <w:spacing w:line="240" w:lineRule="auto"/>
        <w:rPr>
          <w:sz w:val="20"/>
          <w:szCs w:val="20"/>
        </w:rPr>
      </w:pPr>
    </w:p>
    <w:tbl>
      <w:tblPr>
        <w:tblStyle w:val="TableGrid"/>
        <w:tblW w:w="0" w:type="auto"/>
        <w:tblLook w:val="04A0" w:firstRow="1" w:lastRow="0" w:firstColumn="1" w:lastColumn="0" w:noHBand="0" w:noVBand="1"/>
      </w:tblPr>
      <w:tblGrid>
        <w:gridCol w:w="1888"/>
        <w:gridCol w:w="1803"/>
        <w:gridCol w:w="2744"/>
        <w:gridCol w:w="2512"/>
      </w:tblGrid>
      <w:tr w:rsidR="0074468B" w:rsidRPr="006D54B7" w:rsidTr="0074468B">
        <w:trPr>
          <w:trHeight w:val="454"/>
        </w:trPr>
        <w:tc>
          <w:tcPr>
            <w:tcW w:w="3691" w:type="dxa"/>
            <w:gridSpan w:val="2"/>
            <w:shd w:val="clear" w:color="auto" w:fill="D9D9D9" w:themeFill="background1" w:themeFillShade="D9"/>
            <w:vAlign w:val="center"/>
            <w:hideMark/>
          </w:tcPr>
          <w:p w:rsidR="0074468B" w:rsidRPr="006D54B7" w:rsidRDefault="0074468B" w:rsidP="00BF7DCC">
            <w:pPr>
              <w:spacing w:line="240" w:lineRule="auto"/>
              <w:ind w:right="57"/>
              <w:rPr>
                <w:rFonts w:ascii="Times New Roman" w:hAnsi="Times New Roman"/>
                <w:b/>
                <w:iCs/>
              </w:rPr>
            </w:pPr>
            <w:r w:rsidRPr="006D54B7">
              <w:rPr>
                <w:rFonts w:ascii="Times New Roman" w:hAnsi="Times New Roman"/>
                <w:b/>
                <w:iCs/>
              </w:rPr>
              <w:t>Naziv mjere</w:t>
            </w:r>
          </w:p>
        </w:tc>
        <w:tc>
          <w:tcPr>
            <w:tcW w:w="5256" w:type="dxa"/>
            <w:gridSpan w:val="2"/>
            <w:shd w:val="clear" w:color="auto" w:fill="D9D9D9" w:themeFill="background1" w:themeFillShade="D9"/>
            <w:vAlign w:val="center"/>
            <w:hideMark/>
          </w:tcPr>
          <w:p w:rsidR="0074468B" w:rsidRPr="009937A3" w:rsidRDefault="0074468B" w:rsidP="00BF7DCC">
            <w:pPr>
              <w:spacing w:line="240" w:lineRule="auto"/>
              <w:ind w:right="57"/>
              <w:rPr>
                <w:rFonts w:ascii="Times New Roman" w:eastAsia="Times New Roman" w:hAnsi="Times New Roman"/>
                <w:b/>
                <w:i/>
                <w:highlight w:val="yellow"/>
                <w:lang w:eastAsia="hr-HR"/>
              </w:rPr>
            </w:pPr>
            <w:r w:rsidRPr="009937A3">
              <w:rPr>
                <w:rFonts w:ascii="Times New Roman" w:eastAsia="Times New Roman" w:hAnsi="Times New Roman"/>
                <w:b/>
                <w:i/>
                <w:highlight w:val="yellow"/>
                <w:lang w:eastAsia="hr-HR"/>
              </w:rPr>
              <w:t>Sprječavanje nastajanja i smanjivanje količine krutog otpada</w:t>
            </w:r>
          </w:p>
          <w:p w:rsidR="0074468B" w:rsidRPr="009937A3" w:rsidRDefault="0074468B" w:rsidP="00BF7DCC">
            <w:pPr>
              <w:spacing w:line="240" w:lineRule="auto"/>
              <w:ind w:right="57"/>
              <w:rPr>
                <w:rFonts w:ascii="Times New Roman" w:eastAsia="Times New Roman" w:hAnsi="Times New Roman"/>
                <w:b/>
                <w:i/>
                <w:highlight w:val="yellow"/>
                <w:lang w:eastAsia="hr-HR"/>
              </w:rPr>
            </w:pPr>
            <w:r w:rsidRPr="009937A3">
              <w:rPr>
                <w:rFonts w:ascii="Times New Roman" w:eastAsia="Times New Roman" w:hAnsi="Times New Roman"/>
                <w:b/>
                <w:i/>
                <w:highlight w:val="yellow"/>
                <w:lang w:eastAsia="hr-HR"/>
              </w:rPr>
              <w:t>Povećanje količine odvojeno skupljenog i recikliranog krutog otpada</w:t>
            </w:r>
          </w:p>
          <w:p w:rsidR="0074468B" w:rsidRPr="009937A3" w:rsidRDefault="0074468B" w:rsidP="00BF7DCC">
            <w:pPr>
              <w:spacing w:line="240" w:lineRule="auto"/>
              <w:ind w:right="57"/>
              <w:rPr>
                <w:rFonts w:ascii="Times New Roman" w:hAnsi="Times New Roman"/>
                <w:b/>
                <w:i/>
                <w:highlight w:val="yellow"/>
              </w:rPr>
            </w:pPr>
            <w:r w:rsidRPr="009937A3">
              <w:rPr>
                <w:rFonts w:ascii="Times New Roman" w:hAnsi="Times New Roman"/>
                <w:b/>
                <w:i/>
                <w:highlight w:val="yellow"/>
              </w:rPr>
              <w:t>Osiguravanje sustava obrade i korištenja odlagališnog plina</w:t>
            </w:r>
          </w:p>
          <w:p w:rsidR="0074468B" w:rsidRPr="006D54B7" w:rsidRDefault="0074468B" w:rsidP="00BF7DCC">
            <w:pPr>
              <w:spacing w:line="240" w:lineRule="auto"/>
              <w:ind w:right="57"/>
              <w:rPr>
                <w:rFonts w:ascii="Times New Roman" w:hAnsi="Times New Roman"/>
                <w:b/>
                <w:i/>
                <w:iCs/>
              </w:rPr>
            </w:pPr>
            <w:r w:rsidRPr="009937A3">
              <w:rPr>
                <w:rFonts w:ascii="Times New Roman" w:eastAsia="Times New Roman" w:hAnsi="Times New Roman"/>
                <w:b/>
                <w:i/>
                <w:highlight w:val="yellow"/>
                <w:lang w:eastAsia="hr-HR"/>
              </w:rPr>
              <w:t>Smanjenje količine odloženog biorazgradivog otpada</w:t>
            </w:r>
          </w:p>
        </w:tc>
      </w:tr>
      <w:tr w:rsidR="0074468B" w:rsidRPr="00D60728" w:rsidTr="0074468B">
        <w:trPr>
          <w:trHeight w:val="454"/>
        </w:trPr>
        <w:tc>
          <w:tcPr>
            <w:tcW w:w="3691" w:type="dxa"/>
            <w:gridSpan w:val="2"/>
            <w:vAlign w:val="center"/>
            <w:hideMark/>
          </w:tcPr>
          <w:p w:rsidR="0074468B" w:rsidRPr="00D60728" w:rsidRDefault="0074468B"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256" w:type="dxa"/>
            <w:gridSpan w:val="2"/>
            <w:vAlign w:val="center"/>
            <w:hideMark/>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MWM-1; MWM-2; MWM-3; MWM-4</w:t>
            </w:r>
          </w:p>
        </w:tc>
      </w:tr>
      <w:tr w:rsidR="0074468B" w:rsidRPr="00D60728" w:rsidTr="0074468B">
        <w:trPr>
          <w:trHeight w:val="454"/>
        </w:trPr>
        <w:tc>
          <w:tcPr>
            <w:tcW w:w="1888" w:type="dxa"/>
            <w:vMerge w:val="restart"/>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03"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256" w:type="dxa"/>
            <w:gridSpan w:val="2"/>
            <w:vAlign w:val="center"/>
            <w:hideMark/>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Regulatorne, okolišne, ekonomske, obrazovne</w:t>
            </w:r>
          </w:p>
        </w:tc>
      </w:tr>
      <w:tr w:rsidR="0074468B" w:rsidRPr="00D60728" w:rsidTr="0074468B">
        <w:trPr>
          <w:trHeight w:val="454"/>
        </w:trPr>
        <w:tc>
          <w:tcPr>
            <w:tcW w:w="1888"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3" w:type="dxa"/>
            <w:vMerge w:val="restart"/>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256" w:type="dxa"/>
            <w:gridSpan w:val="2"/>
            <w:vAlign w:val="center"/>
            <w:hideMark/>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74468B" w:rsidRPr="00D60728" w:rsidTr="0074468B">
        <w:trPr>
          <w:trHeight w:val="454"/>
        </w:trPr>
        <w:tc>
          <w:tcPr>
            <w:tcW w:w="1888"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3" w:type="dxa"/>
            <w:vMerge/>
            <w:vAlign w:val="center"/>
            <w:hideMark/>
          </w:tcPr>
          <w:p w:rsidR="0074468B" w:rsidRPr="00D60728" w:rsidRDefault="0074468B" w:rsidP="00BF7DCC">
            <w:pPr>
              <w:spacing w:line="240" w:lineRule="auto"/>
              <w:rPr>
                <w:rFonts w:ascii="Times New Roman" w:hAnsi="Times New Roman"/>
                <w:sz w:val="20"/>
                <w:szCs w:val="20"/>
              </w:rPr>
            </w:pPr>
          </w:p>
        </w:tc>
        <w:tc>
          <w:tcPr>
            <w:tcW w:w="5256" w:type="dxa"/>
            <w:gridSpan w:val="2"/>
            <w:vAlign w:val="center"/>
            <w:hideMark/>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74468B" w:rsidRPr="00D60728" w:rsidTr="0074468B">
        <w:trPr>
          <w:trHeight w:val="454"/>
        </w:trPr>
        <w:tc>
          <w:tcPr>
            <w:tcW w:w="1888"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3"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256" w:type="dxa"/>
            <w:gridSpan w:val="2"/>
            <w:vAlign w:val="center"/>
          </w:tcPr>
          <w:p w:rsidR="0074468B" w:rsidRPr="00D60728" w:rsidRDefault="0074468B" w:rsidP="00BF7DCC">
            <w:pPr>
              <w:pStyle w:val="ListParagraph"/>
              <w:numPr>
                <w:ilvl w:val="0"/>
                <w:numId w:val="39"/>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Smanjenje količine otpada za odlaganje;</w:t>
            </w:r>
          </w:p>
          <w:p w:rsidR="0074468B" w:rsidRPr="00D60728" w:rsidRDefault="0074468B" w:rsidP="00BF7DCC">
            <w:pPr>
              <w:pStyle w:val="ListParagraph"/>
              <w:numPr>
                <w:ilvl w:val="0"/>
                <w:numId w:val="39"/>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Povećanje količine odvojeno skupljenog i recikliranog otpada;</w:t>
            </w:r>
          </w:p>
          <w:p w:rsidR="0074468B" w:rsidRPr="00D60728" w:rsidRDefault="0074468B" w:rsidP="00BF7DCC">
            <w:pPr>
              <w:pStyle w:val="ListParagraph"/>
              <w:numPr>
                <w:ilvl w:val="0"/>
                <w:numId w:val="39"/>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Smanjenje količine odloženog biorazgradivog otpada;</w:t>
            </w:r>
          </w:p>
          <w:p w:rsidR="0074468B" w:rsidRPr="00D60728" w:rsidRDefault="0074468B" w:rsidP="00BF7DCC">
            <w:pPr>
              <w:pStyle w:val="ListParagraph"/>
              <w:numPr>
                <w:ilvl w:val="0"/>
                <w:numId w:val="39"/>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Smanjenje emisije stakleničkih plinova;</w:t>
            </w:r>
          </w:p>
          <w:p w:rsidR="0074468B" w:rsidRPr="00D60728" w:rsidRDefault="0074468B" w:rsidP="00BF7DCC">
            <w:pPr>
              <w:pStyle w:val="ListParagraph"/>
              <w:numPr>
                <w:ilvl w:val="0"/>
                <w:numId w:val="39"/>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Izobrazno-informativne aktivnosti o održivom gospodarenju otpadom;</w:t>
            </w:r>
          </w:p>
          <w:p w:rsidR="0074468B" w:rsidRPr="00D60728" w:rsidRDefault="0074468B" w:rsidP="00BF7DCC">
            <w:pPr>
              <w:pStyle w:val="ListParagraph"/>
              <w:numPr>
                <w:ilvl w:val="0"/>
                <w:numId w:val="39"/>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Ekonomska isplativost.</w:t>
            </w:r>
          </w:p>
        </w:tc>
      </w:tr>
      <w:tr w:rsidR="0074468B" w:rsidRPr="00D60728" w:rsidTr="0074468B">
        <w:trPr>
          <w:trHeight w:val="454"/>
        </w:trPr>
        <w:tc>
          <w:tcPr>
            <w:tcW w:w="1888" w:type="dxa"/>
            <w:vMerge/>
            <w:vAlign w:val="center"/>
          </w:tcPr>
          <w:p w:rsidR="0074468B" w:rsidRPr="00D60728" w:rsidRDefault="0074468B" w:rsidP="00BF7DCC">
            <w:pPr>
              <w:spacing w:line="240" w:lineRule="auto"/>
              <w:rPr>
                <w:rFonts w:ascii="Times New Roman" w:hAnsi="Times New Roman"/>
                <w:sz w:val="20"/>
                <w:szCs w:val="20"/>
              </w:rPr>
            </w:pPr>
          </w:p>
        </w:tc>
        <w:tc>
          <w:tcPr>
            <w:tcW w:w="1803" w:type="dxa"/>
            <w:vAlign w:val="center"/>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256" w:type="dxa"/>
            <w:gridSpan w:val="2"/>
            <w:vAlign w:val="center"/>
          </w:tcPr>
          <w:p w:rsidR="0074468B" w:rsidRPr="00D60728" w:rsidRDefault="0074468B" w:rsidP="00BF7DCC">
            <w:pPr>
              <w:spacing w:line="240" w:lineRule="auto"/>
              <w:jc w:val="left"/>
              <w:rPr>
                <w:rFonts w:ascii="Times New Roman" w:eastAsia="MS Mincho" w:hAnsi="Times New Roman"/>
                <w:i/>
                <w:sz w:val="20"/>
                <w:szCs w:val="20"/>
              </w:rPr>
            </w:pPr>
            <w:r w:rsidRPr="00D60728">
              <w:rPr>
                <w:rFonts w:ascii="Times New Roman" w:eastAsia="MS Mincho" w:hAnsi="Times New Roman"/>
                <w:i/>
                <w:sz w:val="20"/>
                <w:szCs w:val="20"/>
              </w:rPr>
              <w:t>Potrebno je promatrati zajednički učinak ove skupine mjera, budući se navedene mjere međusobno nadopunjuju.</w:t>
            </w:r>
          </w:p>
          <w:p w:rsidR="0074468B" w:rsidRPr="00D60728" w:rsidRDefault="0074468B" w:rsidP="00BF7DCC">
            <w:pPr>
              <w:spacing w:line="240" w:lineRule="auto"/>
              <w:jc w:val="left"/>
              <w:rPr>
                <w:rFonts w:ascii="Times New Roman" w:eastAsia="MS Mincho" w:hAnsi="Times New Roman"/>
                <w:i/>
                <w:sz w:val="20"/>
                <w:szCs w:val="20"/>
              </w:rPr>
            </w:pPr>
            <w:r w:rsidRPr="00D60728">
              <w:rPr>
                <w:rFonts w:ascii="Times New Roman" w:eastAsia="MS Mincho" w:hAnsi="Times New Roman"/>
                <w:i/>
                <w:sz w:val="20"/>
                <w:szCs w:val="20"/>
              </w:rPr>
              <w:t>U mjere su ugrađeni ciljevi iz Plana gospodarenja otpadom Republike Hrvatske za razdoblje 2017. - 2022. godine (NN 3/17).</w:t>
            </w:r>
          </w:p>
          <w:p w:rsidR="0074468B" w:rsidRPr="00D60728" w:rsidRDefault="0074468B" w:rsidP="00BF7DCC">
            <w:pPr>
              <w:pStyle w:val="ListParagraph"/>
              <w:numPr>
                <w:ilvl w:val="0"/>
                <w:numId w:val="39"/>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Obveze RH koje proizlaze iz EU zakonodavstva i propisa:</w:t>
            </w:r>
          </w:p>
          <w:p w:rsidR="0074468B" w:rsidRPr="009937A3" w:rsidRDefault="0074468B" w:rsidP="00BF7DCC">
            <w:pPr>
              <w:pStyle w:val="ListParagraph"/>
              <w:numPr>
                <w:ilvl w:val="0"/>
                <w:numId w:val="50"/>
              </w:numPr>
              <w:spacing w:line="240" w:lineRule="auto"/>
              <w:ind w:left="618" w:hanging="258"/>
              <w:jc w:val="left"/>
              <w:rPr>
                <w:rFonts w:ascii="Times New Roman" w:hAnsi="Times New Roman"/>
                <w:i/>
                <w:sz w:val="20"/>
                <w:szCs w:val="20"/>
                <w:highlight w:val="yellow"/>
              </w:rPr>
            </w:pPr>
            <w:r w:rsidRPr="009937A3">
              <w:rPr>
                <w:rFonts w:ascii="Times New Roman" w:hAnsi="Times New Roman"/>
                <w:i/>
                <w:sz w:val="20"/>
                <w:szCs w:val="20"/>
                <w:highlight w:val="yellow"/>
              </w:rPr>
              <w:t>do 2020. godine 50% komunalnog otpada treba pripremiti za ponovnu uporabu i recikliranje.</w:t>
            </w:r>
          </w:p>
          <w:p w:rsidR="0074468B" w:rsidRPr="00D60728" w:rsidRDefault="0074468B" w:rsidP="00BF7DCC">
            <w:pPr>
              <w:pStyle w:val="ListParagraph"/>
              <w:numPr>
                <w:ilvl w:val="0"/>
                <w:numId w:val="39"/>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Ciljevi za gospodarenje otpadom koje je potrebno postići do 2022. godine u odnosu na 2015. godinu:</w:t>
            </w:r>
          </w:p>
          <w:p w:rsidR="0074468B" w:rsidRPr="00D60728" w:rsidRDefault="0074468B" w:rsidP="00BF7DCC">
            <w:pPr>
              <w:pStyle w:val="ListParagraph"/>
              <w:numPr>
                <w:ilvl w:val="0"/>
                <w:numId w:val="50"/>
              </w:numPr>
              <w:spacing w:line="240" w:lineRule="auto"/>
              <w:ind w:left="618" w:hanging="258"/>
              <w:jc w:val="left"/>
              <w:rPr>
                <w:rFonts w:ascii="Times New Roman" w:hAnsi="Times New Roman"/>
                <w:i/>
                <w:sz w:val="20"/>
                <w:szCs w:val="20"/>
              </w:rPr>
            </w:pPr>
            <w:r w:rsidRPr="00D60728">
              <w:rPr>
                <w:rFonts w:ascii="Times New Roman" w:hAnsi="Times New Roman"/>
                <w:i/>
                <w:sz w:val="20"/>
                <w:szCs w:val="20"/>
              </w:rPr>
              <w:t>Cilj 1.1 Smanjiti ukupnu količinu proizvedenog komunalnog otpada za 5%;</w:t>
            </w:r>
          </w:p>
          <w:p w:rsidR="0074468B" w:rsidRPr="00D60728" w:rsidRDefault="0074468B" w:rsidP="00BF7DCC">
            <w:pPr>
              <w:pStyle w:val="ListParagraph"/>
              <w:numPr>
                <w:ilvl w:val="0"/>
                <w:numId w:val="50"/>
              </w:numPr>
              <w:spacing w:line="240" w:lineRule="auto"/>
              <w:ind w:left="618" w:hanging="258"/>
              <w:jc w:val="left"/>
              <w:rPr>
                <w:rFonts w:ascii="Times New Roman" w:hAnsi="Times New Roman"/>
                <w:i/>
                <w:sz w:val="20"/>
                <w:szCs w:val="20"/>
              </w:rPr>
            </w:pPr>
            <w:r w:rsidRPr="00D60728">
              <w:rPr>
                <w:rFonts w:ascii="Times New Roman" w:hAnsi="Times New Roman"/>
                <w:i/>
                <w:sz w:val="20"/>
                <w:szCs w:val="20"/>
              </w:rPr>
              <w:t>Cilj 1.2 Odvojeno prikupiti 60% mase proizvedenog komunalnog otpada (prvenstveno papir, staklo, plastika, metal, biootpad);</w:t>
            </w:r>
          </w:p>
          <w:p w:rsidR="0074468B" w:rsidRPr="00D60728" w:rsidRDefault="0074468B" w:rsidP="00BF7DCC">
            <w:pPr>
              <w:pStyle w:val="ListParagraph"/>
              <w:numPr>
                <w:ilvl w:val="0"/>
                <w:numId w:val="50"/>
              </w:numPr>
              <w:spacing w:line="240" w:lineRule="auto"/>
              <w:ind w:left="618" w:hanging="258"/>
              <w:jc w:val="left"/>
              <w:rPr>
                <w:rFonts w:ascii="Times New Roman" w:hAnsi="Times New Roman"/>
                <w:i/>
                <w:sz w:val="20"/>
                <w:szCs w:val="20"/>
              </w:rPr>
            </w:pPr>
            <w:r w:rsidRPr="00D60728">
              <w:rPr>
                <w:rFonts w:ascii="Times New Roman" w:hAnsi="Times New Roman"/>
                <w:i/>
                <w:sz w:val="20"/>
                <w:szCs w:val="20"/>
              </w:rPr>
              <w:t>Cilj 1.3 Odvojeno prikupiti 40% mase proizvedenog biootpada koji je sastavni dio komunalnog otpada;</w:t>
            </w:r>
          </w:p>
          <w:p w:rsidR="0074468B" w:rsidRPr="00D60728" w:rsidRDefault="0074468B" w:rsidP="00BF7DCC">
            <w:pPr>
              <w:pStyle w:val="ListParagraph"/>
              <w:numPr>
                <w:ilvl w:val="0"/>
                <w:numId w:val="50"/>
              </w:numPr>
              <w:spacing w:line="240" w:lineRule="auto"/>
              <w:ind w:left="618" w:hanging="258"/>
              <w:jc w:val="left"/>
              <w:rPr>
                <w:rFonts w:ascii="Times New Roman" w:hAnsi="Times New Roman"/>
                <w:i/>
                <w:sz w:val="20"/>
                <w:szCs w:val="20"/>
              </w:rPr>
            </w:pPr>
            <w:r w:rsidRPr="00D60728">
              <w:rPr>
                <w:rFonts w:ascii="Times New Roman" w:hAnsi="Times New Roman"/>
                <w:i/>
                <w:sz w:val="20"/>
                <w:szCs w:val="20"/>
              </w:rPr>
              <w:t>Cilj 1.4 Odložiti na odlagališta manje od 25% mase proizvedenog komunalnog otpada.</w:t>
            </w:r>
          </w:p>
          <w:p w:rsidR="0074468B" w:rsidRPr="00D60728" w:rsidRDefault="0074468B" w:rsidP="00BF7DCC">
            <w:pPr>
              <w:pStyle w:val="ListParagraph"/>
              <w:numPr>
                <w:ilvl w:val="0"/>
                <w:numId w:val="50"/>
              </w:numPr>
              <w:spacing w:line="240" w:lineRule="auto"/>
              <w:ind w:left="618" w:hanging="258"/>
              <w:jc w:val="left"/>
              <w:rPr>
                <w:rFonts w:ascii="Times New Roman" w:hAnsi="Times New Roman"/>
                <w:i/>
                <w:sz w:val="20"/>
                <w:szCs w:val="20"/>
              </w:rPr>
            </w:pPr>
            <w:r w:rsidRPr="00D60728">
              <w:rPr>
                <w:rFonts w:ascii="Times New Roman" w:hAnsi="Times New Roman"/>
                <w:i/>
                <w:sz w:val="20"/>
                <w:szCs w:val="20"/>
              </w:rPr>
              <w:t>Cilj 2.2 Uspostaviti sustav gospodarenja otpadnim muljem iz uređaja za pročišćavanje otpadnih voda</w:t>
            </w:r>
          </w:p>
          <w:p w:rsidR="0074468B" w:rsidRPr="00D60728" w:rsidRDefault="0074468B" w:rsidP="00BF7DCC">
            <w:pPr>
              <w:pStyle w:val="ListParagraph"/>
              <w:numPr>
                <w:ilvl w:val="0"/>
                <w:numId w:val="50"/>
              </w:numPr>
              <w:spacing w:line="240" w:lineRule="auto"/>
              <w:ind w:left="618" w:hanging="258"/>
              <w:jc w:val="left"/>
              <w:rPr>
                <w:rFonts w:ascii="Times New Roman" w:hAnsi="Times New Roman"/>
                <w:i/>
                <w:sz w:val="20"/>
                <w:szCs w:val="20"/>
              </w:rPr>
            </w:pPr>
            <w:r w:rsidRPr="00D60728">
              <w:rPr>
                <w:rFonts w:ascii="Times New Roman" w:hAnsi="Times New Roman"/>
                <w:i/>
                <w:sz w:val="20"/>
                <w:szCs w:val="20"/>
              </w:rPr>
              <w:t>Cilj 4 Sanirati lokacije onečišćene otpadom</w:t>
            </w:r>
          </w:p>
          <w:p w:rsidR="0074468B" w:rsidRPr="00D60728" w:rsidRDefault="0074468B" w:rsidP="00BF7DCC">
            <w:pPr>
              <w:pStyle w:val="ListParagraph"/>
              <w:numPr>
                <w:ilvl w:val="0"/>
                <w:numId w:val="50"/>
              </w:numPr>
              <w:spacing w:line="240" w:lineRule="auto"/>
              <w:ind w:left="618" w:hanging="258"/>
              <w:jc w:val="left"/>
              <w:rPr>
                <w:rFonts w:ascii="Times New Roman" w:hAnsi="Times New Roman"/>
                <w:i/>
                <w:sz w:val="20"/>
                <w:szCs w:val="20"/>
              </w:rPr>
            </w:pPr>
            <w:r w:rsidRPr="00D60728">
              <w:rPr>
                <w:rFonts w:ascii="Times New Roman" w:hAnsi="Times New Roman"/>
                <w:i/>
                <w:sz w:val="20"/>
                <w:szCs w:val="20"/>
              </w:rPr>
              <w:t>Cilj 5 Kontinuirano provoditi izobrazno-informativne aktivnosti</w:t>
            </w:r>
          </w:p>
          <w:p w:rsidR="0074468B" w:rsidRPr="00D60728" w:rsidRDefault="0074468B" w:rsidP="00BF7DCC">
            <w:pPr>
              <w:pStyle w:val="ListParagraph"/>
              <w:numPr>
                <w:ilvl w:val="0"/>
                <w:numId w:val="50"/>
              </w:numPr>
              <w:spacing w:line="240" w:lineRule="auto"/>
              <w:ind w:left="618" w:hanging="258"/>
              <w:jc w:val="left"/>
              <w:rPr>
                <w:rFonts w:ascii="Times New Roman" w:hAnsi="Times New Roman"/>
                <w:i/>
                <w:sz w:val="20"/>
                <w:szCs w:val="20"/>
              </w:rPr>
            </w:pPr>
            <w:r w:rsidRPr="00D60728">
              <w:rPr>
                <w:rFonts w:ascii="Times New Roman" w:hAnsi="Times New Roman"/>
                <w:i/>
                <w:sz w:val="20"/>
                <w:szCs w:val="20"/>
              </w:rPr>
              <w:t>Cilj 7 Unaprijediti nadzor nad gospodarenjem otpadom</w:t>
            </w:r>
          </w:p>
          <w:p w:rsidR="0074468B" w:rsidRPr="00D60728" w:rsidRDefault="0074468B" w:rsidP="00BF7DCC">
            <w:pPr>
              <w:spacing w:line="240" w:lineRule="auto"/>
              <w:jc w:val="left"/>
              <w:rPr>
                <w:rFonts w:ascii="Times New Roman" w:hAnsi="Times New Roman"/>
                <w:b/>
                <w:i/>
                <w:sz w:val="20"/>
                <w:szCs w:val="20"/>
              </w:rPr>
            </w:pPr>
            <w:r w:rsidRPr="00D60728">
              <w:rPr>
                <w:rFonts w:ascii="Times New Roman" w:hAnsi="Times New Roman"/>
                <w:b/>
                <w:i/>
                <w:sz w:val="20"/>
                <w:szCs w:val="20"/>
              </w:rPr>
              <w:t>MWM-1 Sprječavanje nastajanja i smanjivanje količine krutog otpada</w:t>
            </w:r>
          </w:p>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 xml:space="preserve">To je prvi po redu prioritet u gospodarenju otpadom, prema Zakonu o održivom gospodarenju otpadom (NN 94/13, 73/17, </w:t>
            </w:r>
            <w:r w:rsidRPr="00D60728">
              <w:rPr>
                <w:rFonts w:ascii="Times New Roman" w:hAnsi="Times New Roman"/>
                <w:i/>
                <w:sz w:val="20"/>
                <w:szCs w:val="20"/>
              </w:rPr>
              <w:lastRenderedPageBreak/>
              <w:t>14/19). Sprječavanje nastajanja i smanjivanje količine otpada uključuje komunalni otpad, proizvodni otpad koji je po sastavu i karakteristikama sličan komunalnom otpadu i mulj iz uređaja za pročišćavanje otpadnih voda.</w:t>
            </w:r>
          </w:p>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Ova mjera se treba postići istijom proizvodnjom, odgojem i obrazovanjem, ekonomskim instrumentima, primjenom propisa u gospodarenju otpadom i ulaganjem u suvremene tehnologije. Sukladno zakonu definirani su kvantitativni ciljevi i rokovi za smanjenje ukupne količine odloženog otpada na neusklađena odlagališta. Odlaganje otpada na neusklađena odlagališta u RH zabranjeno je nakon 31. prosinca 2017. godine.</w:t>
            </w:r>
          </w:p>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 xml:space="preserve">Prema Direktivi (EU) 2018/850 Europskog parlamenta i Vijeća od 30. svibnja 2018. o izmjeni Direktive 1999/31/EZ o odlagalištima otpada, </w:t>
            </w:r>
            <w:r w:rsidRPr="009937A3">
              <w:rPr>
                <w:rFonts w:ascii="Times New Roman" w:hAnsi="Times New Roman"/>
                <w:i/>
                <w:sz w:val="20"/>
                <w:szCs w:val="20"/>
                <w:highlight w:val="yellow"/>
              </w:rPr>
              <w:t>države članice trebale bi poduzeti potrebne mjere da se do 2035. godine količina odloženog komunalnog otpada smanji na 10% ukupne količine (po masi) proizvedenog komunalnog otpada ili manje. Hrvatska je dobila mogućnost odgode od pet godina za ispunjavanje navedenog cilja jer je među državama članicama koje su 2013. godine odlagale više od 60% komunalnog otpada na odlagalištima. Taj cilj će se morati ispuniti do 2040. godine, pod uvjetom da se do 2025. godine odlaganje otpada smanji na 25% ukupne količine (po masi) proizvedenog komunalnog otpada.</w:t>
            </w:r>
            <w:r w:rsidRPr="00D60728">
              <w:rPr>
                <w:rFonts w:ascii="Times New Roman" w:hAnsi="Times New Roman"/>
                <w:i/>
                <w:sz w:val="20"/>
                <w:szCs w:val="20"/>
              </w:rPr>
              <w:t xml:space="preserve"> </w:t>
            </w:r>
          </w:p>
          <w:p w:rsidR="0074468B" w:rsidRPr="00D60728" w:rsidRDefault="0074468B" w:rsidP="00BF7DCC">
            <w:pPr>
              <w:spacing w:line="240" w:lineRule="auto"/>
              <w:jc w:val="left"/>
              <w:rPr>
                <w:rFonts w:ascii="Times New Roman" w:hAnsi="Times New Roman"/>
                <w:i/>
                <w:sz w:val="20"/>
                <w:szCs w:val="20"/>
                <w:highlight w:val="cyan"/>
              </w:rPr>
            </w:pPr>
          </w:p>
          <w:p w:rsidR="0074468B" w:rsidRPr="00D60728" w:rsidRDefault="0074468B" w:rsidP="00BF7DCC">
            <w:pPr>
              <w:spacing w:line="240" w:lineRule="auto"/>
              <w:jc w:val="left"/>
              <w:rPr>
                <w:rFonts w:ascii="Times New Roman" w:hAnsi="Times New Roman"/>
                <w:b/>
                <w:i/>
                <w:sz w:val="20"/>
                <w:szCs w:val="20"/>
              </w:rPr>
            </w:pPr>
            <w:r w:rsidRPr="00D60728">
              <w:rPr>
                <w:rFonts w:ascii="Times New Roman" w:hAnsi="Times New Roman"/>
                <w:b/>
                <w:i/>
                <w:sz w:val="20"/>
                <w:szCs w:val="20"/>
              </w:rPr>
              <w:t>MWM-2</w:t>
            </w:r>
            <w:r w:rsidRPr="00D60728">
              <w:rPr>
                <w:rFonts w:ascii="Times New Roman" w:hAnsi="Times New Roman"/>
                <w:b/>
                <w:sz w:val="20"/>
                <w:szCs w:val="20"/>
              </w:rPr>
              <w:t xml:space="preserve"> </w:t>
            </w:r>
            <w:r w:rsidRPr="00D60728">
              <w:rPr>
                <w:rFonts w:ascii="Times New Roman" w:hAnsi="Times New Roman"/>
                <w:b/>
                <w:i/>
                <w:sz w:val="20"/>
                <w:szCs w:val="20"/>
              </w:rPr>
              <w:t>Povećanje količine odvojeno skupljenog i recikliranog krutog otpada</w:t>
            </w:r>
          </w:p>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U mjeru su ugrađeni kvantitativni ciljevi i rokovi za povećanje količine odvojeno skupljenog i recikliranog otpada definirani Zakonom o održivom gospodarenju otpadom (NN 94/13, 73/17, 14/19) i Planom gospodarenja otpadom Republike Hrvatske za razdoblje 2017. - 2022. godine (NN 3/17). Do 2020. godine potrebno je osigurati pripremu za ponovnu uporabu i recikliranje sljedećih otpadnih materijala: papir, metal, plastika i staklo iz kućanstva, a po mogućnosti i iz drugih izvora ako su ti tokovi otpada slični otpadu iz kućanstva, u minimalnom udjelu od 50% mase otpada.</w:t>
            </w:r>
          </w:p>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Prema Direktivi (EU) 2018/851 Europskog parlamenta i Vijeća od 30. svibnja 2018. o izmjeni Direktive 2008/98/EZ o otpadu</w:t>
            </w:r>
            <w:r w:rsidRPr="009937A3">
              <w:rPr>
                <w:rFonts w:ascii="Times New Roman" w:hAnsi="Times New Roman"/>
                <w:i/>
                <w:sz w:val="20"/>
                <w:szCs w:val="20"/>
                <w:highlight w:val="yellow"/>
              </w:rPr>
              <w:t>, države članice trebale bi poduzeti potrebne mjere da se priprema za ponovnu uporabu i recikliranje komunalnog otpada poveća na najmanje 55% mase do 2025. godine, 60% mase do 2030. godine i 65% mase do 2035. godine</w:t>
            </w:r>
            <w:r w:rsidRPr="00D60728">
              <w:rPr>
                <w:rFonts w:ascii="Times New Roman" w:hAnsi="Times New Roman"/>
                <w:i/>
                <w:sz w:val="20"/>
                <w:szCs w:val="20"/>
              </w:rPr>
              <w:t xml:space="preserve">. Hrvatska je dobila mogućnost odgode od pet godina za ispunjavanje navedenih ciljeva jer je među državama članicama koje su 2013. godine reciklirale manje od 20% komunalnog otpada. Sukladno tome, </w:t>
            </w:r>
            <w:r w:rsidRPr="009937A3">
              <w:rPr>
                <w:rFonts w:ascii="Times New Roman" w:hAnsi="Times New Roman"/>
                <w:i/>
                <w:sz w:val="20"/>
                <w:szCs w:val="20"/>
                <w:highlight w:val="yellow"/>
              </w:rPr>
              <w:t>Hrvatska mora poduzeti potrebne mjere za povećanje pripreme za ponovnu uporabu i recikliranje komunalnog otpada na najmanje 50% do 2025. godine, 55% do 2030. godine i 60% do 2035. godine.</w:t>
            </w:r>
          </w:p>
          <w:p w:rsidR="0074468B" w:rsidRPr="00D60728" w:rsidRDefault="0074468B" w:rsidP="00BF7DCC">
            <w:pPr>
              <w:spacing w:line="240" w:lineRule="auto"/>
              <w:jc w:val="left"/>
              <w:rPr>
                <w:rFonts w:ascii="Times New Roman" w:hAnsi="Times New Roman"/>
                <w:i/>
                <w:sz w:val="20"/>
                <w:szCs w:val="20"/>
              </w:rPr>
            </w:pPr>
          </w:p>
          <w:p w:rsidR="0074468B" w:rsidRPr="00D60728" w:rsidRDefault="0074468B" w:rsidP="00BF7DCC">
            <w:pPr>
              <w:spacing w:line="240" w:lineRule="auto"/>
              <w:jc w:val="left"/>
              <w:rPr>
                <w:rFonts w:ascii="Times New Roman" w:hAnsi="Times New Roman"/>
                <w:b/>
                <w:i/>
                <w:sz w:val="20"/>
                <w:szCs w:val="20"/>
              </w:rPr>
            </w:pPr>
            <w:r w:rsidRPr="00D60728">
              <w:rPr>
                <w:rFonts w:ascii="Times New Roman" w:hAnsi="Times New Roman"/>
                <w:b/>
                <w:i/>
                <w:sz w:val="20"/>
                <w:szCs w:val="20"/>
              </w:rPr>
              <w:t>MWM-3</w:t>
            </w:r>
            <w:r w:rsidRPr="00D60728">
              <w:rPr>
                <w:rFonts w:ascii="Times New Roman" w:eastAsia="MS Mincho" w:hAnsi="Times New Roman"/>
                <w:b/>
                <w:i/>
                <w:sz w:val="20"/>
                <w:szCs w:val="20"/>
              </w:rPr>
              <w:t xml:space="preserve"> </w:t>
            </w:r>
            <w:r w:rsidRPr="00D60728">
              <w:rPr>
                <w:rFonts w:ascii="Times New Roman" w:hAnsi="Times New Roman"/>
                <w:b/>
                <w:i/>
                <w:sz w:val="20"/>
                <w:szCs w:val="20"/>
              </w:rPr>
              <w:t>Osiguravanje sustava obrade i korištenja odlagališnog plina</w:t>
            </w:r>
          </w:p>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 xml:space="preserve">Pravilnikom o načinima i uvjetima odlaganja otpada, kategorijama i uvjetima rada za odlagališta otpada (NN 114/15, 103/18, 56/19) i Pravilnikom o gospodarenju otpadom (NN 117/17) propisani su strogi tehnički uvjeti rada za odlagališta otpada, kojima se smanjuju moguće štetne </w:t>
            </w:r>
            <w:r w:rsidRPr="00D60728">
              <w:rPr>
                <w:rFonts w:ascii="Times New Roman" w:hAnsi="Times New Roman"/>
                <w:i/>
                <w:sz w:val="20"/>
                <w:szCs w:val="20"/>
              </w:rPr>
              <w:lastRenderedPageBreak/>
              <w:t>posljedice odlagališta na okoliš. Na odlagalištu na kojemu nastaje odlagališni plin potrebno je osigurati sustav sakupljanja plina koji se mora obraditi i koristiti. Ako se sakupljeni odlagališni plinovi ne mogu upotrijebiti za dobivanje energije, treba ih spaliti na području odlagališta i spriječiti emisiju metana u atmosferu.</w:t>
            </w:r>
          </w:p>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Primjena obvezujućih ciljeva vezanih uz smanjenje odlaganja i recikliranje otpada, opisanih u mjerama MWM-1 i MWM-2, utječe na količinu nastalog odlagališnog plina. Uslijed smanjene količine krutog otpada odloženog na odlagalište, a isto tako i količine odloženog biorazgradivog otpada, nastaje i manje količina odlagališnog plina unutar tijela odlagališta koja se iscrpljuje sustavom sakupljanja plina i spaljuje na baklji.</w:t>
            </w:r>
          </w:p>
          <w:p w:rsidR="0074468B" w:rsidRPr="00D60728" w:rsidRDefault="0074468B" w:rsidP="00BF7DCC">
            <w:pPr>
              <w:spacing w:line="240" w:lineRule="auto"/>
              <w:jc w:val="left"/>
              <w:rPr>
                <w:rFonts w:ascii="Times New Roman" w:hAnsi="Times New Roman"/>
                <w:i/>
                <w:sz w:val="20"/>
                <w:szCs w:val="20"/>
                <w:highlight w:val="cyan"/>
              </w:rPr>
            </w:pPr>
          </w:p>
          <w:p w:rsidR="0074468B" w:rsidRPr="00D60728" w:rsidRDefault="0074468B" w:rsidP="00BF7DCC">
            <w:pPr>
              <w:spacing w:line="240" w:lineRule="auto"/>
              <w:jc w:val="left"/>
              <w:rPr>
                <w:rFonts w:ascii="Times New Roman" w:hAnsi="Times New Roman"/>
                <w:b/>
                <w:i/>
                <w:sz w:val="20"/>
                <w:szCs w:val="20"/>
              </w:rPr>
            </w:pPr>
            <w:r w:rsidRPr="00D60728">
              <w:rPr>
                <w:rFonts w:ascii="Times New Roman" w:hAnsi="Times New Roman"/>
                <w:b/>
                <w:i/>
                <w:sz w:val="20"/>
                <w:szCs w:val="20"/>
              </w:rPr>
              <w:t>MWM-4 Smanjenje količine odloženog biorazgradivog otpada</w:t>
            </w:r>
          </w:p>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Cilj mjere je smanjiti količinu biorazgradive frakcije otpada koja se odlaže na odlagališta, čime se smanjuje emisija metana nastalog anaerobnim procesima razgradnje otpada.</w:t>
            </w:r>
          </w:p>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Sukladno Zakonu o održivom gospodarenju otpadom i Planu gospodarenja otpadom Republike Hrvatske za razdoblje 2017. - 2022. godine utvrđeni su kvantitativni ciljevi koji se odnose na smanjenje udjela biorazgradivog komunalnog otpada koji se odlaže na odlagališta</w:t>
            </w:r>
            <w:r w:rsidRPr="000013EE">
              <w:rPr>
                <w:rFonts w:ascii="Times New Roman" w:hAnsi="Times New Roman"/>
                <w:i/>
                <w:sz w:val="20"/>
                <w:szCs w:val="20"/>
                <w:highlight w:val="yellow"/>
              </w:rPr>
              <w:t>. Do kraja 2020. godine udio biorazgradivog komunalnog otpada koji se odlaže na odlagališta mora se smanjiti na 35% masenog udjela biorazgradivog komunalnog otpada koji je proizveden 1997. godine.</w:t>
            </w:r>
          </w:p>
          <w:p w:rsidR="0074468B" w:rsidRPr="00D60728" w:rsidRDefault="0074468B" w:rsidP="00BF7DCC">
            <w:pPr>
              <w:spacing w:line="240" w:lineRule="auto"/>
              <w:jc w:val="left"/>
              <w:rPr>
                <w:rFonts w:ascii="Times New Roman" w:eastAsia="MS Mincho" w:hAnsi="Times New Roman"/>
                <w:i/>
                <w:sz w:val="20"/>
                <w:szCs w:val="20"/>
              </w:rPr>
            </w:pPr>
            <w:r w:rsidRPr="00D60728">
              <w:rPr>
                <w:rFonts w:ascii="Times New Roman" w:hAnsi="Times New Roman"/>
                <w:i/>
                <w:sz w:val="20"/>
                <w:szCs w:val="20"/>
              </w:rPr>
              <w:t>Primjena obvezujućih ciljeva vezanih uz smanjenje odlaganja i recikliranje otpada, opisanih u mjerama MWM-1 i MWM-2, utječe na smanjenje količine odloženog biorazgradivog otpada.</w:t>
            </w:r>
          </w:p>
        </w:tc>
      </w:tr>
      <w:tr w:rsidR="0074468B" w:rsidRPr="00D60728" w:rsidTr="0074468B">
        <w:trPr>
          <w:trHeight w:val="454"/>
        </w:trPr>
        <w:tc>
          <w:tcPr>
            <w:tcW w:w="1888"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3"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256" w:type="dxa"/>
            <w:gridSpan w:val="2"/>
            <w:vAlign w:val="center"/>
            <w:hideMark/>
          </w:tcPr>
          <w:p w:rsidR="0074468B" w:rsidRPr="00D60728" w:rsidRDefault="0074468B" w:rsidP="00BF7DCC">
            <w:pPr>
              <w:spacing w:line="240" w:lineRule="auto"/>
              <w:rPr>
                <w:rFonts w:ascii="Times New Roman" w:hAnsi="Times New Roman"/>
                <w:i/>
                <w:sz w:val="20"/>
                <w:szCs w:val="20"/>
              </w:rPr>
            </w:pPr>
            <w:r w:rsidRPr="00D60728">
              <w:rPr>
                <w:rFonts w:ascii="Times New Roman" w:hAnsi="Times New Roman"/>
                <w:i/>
                <w:sz w:val="20"/>
                <w:szCs w:val="20"/>
              </w:rPr>
              <w:t>Jedinice lokalne i područne (regionalne) samouprave.</w:t>
            </w:r>
          </w:p>
        </w:tc>
      </w:tr>
      <w:tr w:rsidR="0074468B" w:rsidRPr="00D60728" w:rsidTr="0074468B">
        <w:trPr>
          <w:trHeight w:val="454"/>
        </w:trPr>
        <w:tc>
          <w:tcPr>
            <w:tcW w:w="1888" w:type="dxa"/>
            <w:vMerge w:val="restart"/>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03"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256" w:type="dxa"/>
            <w:gridSpan w:val="2"/>
            <w:vAlign w:val="center"/>
          </w:tcPr>
          <w:p w:rsidR="0074468B" w:rsidRPr="00D60728" w:rsidRDefault="0074468B" w:rsidP="00BF7DCC">
            <w:pPr>
              <w:pStyle w:val="ListParagraph"/>
              <w:numPr>
                <w:ilvl w:val="0"/>
                <w:numId w:val="3"/>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Primjena reda prvenstva gospodarenja otpadom;</w:t>
            </w:r>
          </w:p>
          <w:p w:rsidR="0074468B" w:rsidRPr="00D60728" w:rsidRDefault="0074468B" w:rsidP="00BF7DCC">
            <w:pPr>
              <w:pStyle w:val="ListParagraph"/>
              <w:numPr>
                <w:ilvl w:val="0"/>
                <w:numId w:val="3"/>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Spaljivanje odlagališnog plina na baklji ukoliko odlagalište nema instalirano postrojenje za proizvodnju električne energije te ukoliko odlagališni plin nije odgovarajućeg sastava i količine za proizvodnju električne energije.</w:t>
            </w:r>
          </w:p>
        </w:tc>
      </w:tr>
      <w:tr w:rsidR="0074468B" w:rsidRPr="00D60728" w:rsidTr="0074468B">
        <w:trPr>
          <w:trHeight w:val="454"/>
        </w:trPr>
        <w:tc>
          <w:tcPr>
            <w:tcW w:w="1888"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3"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256" w:type="dxa"/>
            <w:gridSpan w:val="2"/>
            <w:vAlign w:val="center"/>
          </w:tcPr>
          <w:p w:rsidR="0074468B" w:rsidRPr="00D60728" w:rsidRDefault="0074468B" w:rsidP="00BF7DCC">
            <w:pPr>
              <w:pStyle w:val="ListParagraph"/>
              <w:numPr>
                <w:ilvl w:val="0"/>
                <w:numId w:val="38"/>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Nadležna tijela državne vlasti;</w:t>
            </w:r>
          </w:p>
          <w:p w:rsidR="0074468B" w:rsidRPr="00D60728" w:rsidRDefault="0074468B" w:rsidP="00BF7DCC">
            <w:pPr>
              <w:pStyle w:val="ListParagraph"/>
              <w:numPr>
                <w:ilvl w:val="0"/>
                <w:numId w:val="38"/>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Jedinice lokalne i područne (regionalne) samouprave.</w:t>
            </w:r>
          </w:p>
        </w:tc>
      </w:tr>
      <w:tr w:rsidR="0074468B" w:rsidRPr="00D60728" w:rsidTr="0074468B">
        <w:trPr>
          <w:trHeight w:val="454"/>
        </w:trPr>
        <w:tc>
          <w:tcPr>
            <w:tcW w:w="1888"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3"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256" w:type="dxa"/>
            <w:gridSpan w:val="2"/>
            <w:vAlign w:val="center"/>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Izvršno tijelo:</w:t>
            </w:r>
          </w:p>
          <w:p w:rsidR="0074468B" w:rsidRPr="00D60728" w:rsidRDefault="0074468B" w:rsidP="00BF7DCC">
            <w:pPr>
              <w:pStyle w:val="ListParagraph"/>
              <w:numPr>
                <w:ilvl w:val="0"/>
                <w:numId w:val="33"/>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Ministarstvo zaštite okoliša i energetike.</w:t>
            </w:r>
          </w:p>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Tijelo za praćenje provedbe:</w:t>
            </w:r>
          </w:p>
          <w:p w:rsidR="0074468B" w:rsidRPr="00D60728" w:rsidRDefault="0074468B" w:rsidP="00BF7DCC">
            <w:pPr>
              <w:pStyle w:val="ListParagraph"/>
              <w:numPr>
                <w:ilvl w:val="0"/>
                <w:numId w:val="33"/>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Ministarstvo zaštite okoliša i energetike.</w:t>
            </w:r>
          </w:p>
        </w:tc>
      </w:tr>
      <w:tr w:rsidR="0074468B" w:rsidRPr="00D60728" w:rsidTr="0074468B">
        <w:trPr>
          <w:trHeight w:val="454"/>
        </w:trPr>
        <w:tc>
          <w:tcPr>
            <w:tcW w:w="1888"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3"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256" w:type="dxa"/>
            <w:gridSpan w:val="2"/>
            <w:vAlign w:val="center"/>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sredstva: 6.000.000 EUR</w:t>
            </w:r>
          </w:p>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sz w:val="20"/>
                <w:szCs w:val="20"/>
              </w:rPr>
              <w:t>Izvori financiranja: korištenje sredstva EU fondova (Kohezijski fond i Europski fond za regionalni razvoj), jedinica lokalne i područne (regionalne) samouprave, komunalnih društava, Fonda za zaštitu okoliša i energetsku učinkovitost, krediti razvojnih banaka (Svjetska banka, Europska banka za razvoj, Europska investicijska banka).</w:t>
            </w:r>
          </w:p>
        </w:tc>
      </w:tr>
      <w:tr w:rsidR="0074468B" w:rsidRPr="00D60728" w:rsidTr="0074468B">
        <w:trPr>
          <w:trHeight w:val="454"/>
        </w:trPr>
        <w:tc>
          <w:tcPr>
            <w:tcW w:w="1888" w:type="dxa"/>
            <w:vMerge w:val="restart"/>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03" w:type="dxa"/>
            <w:vMerge w:val="restart"/>
            <w:vAlign w:val="center"/>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44" w:type="dxa"/>
            <w:vAlign w:val="center"/>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-eg)</w:t>
            </w:r>
          </w:p>
        </w:tc>
        <w:tc>
          <w:tcPr>
            <w:tcW w:w="2512" w:type="dxa"/>
            <w:vAlign w:val="center"/>
          </w:tcPr>
          <w:p w:rsidR="0074468B" w:rsidRPr="00D60728" w:rsidRDefault="0074468B" w:rsidP="00BF7DCC">
            <w:pPr>
              <w:spacing w:line="240" w:lineRule="auto"/>
              <w:rPr>
                <w:rFonts w:ascii="Times New Roman" w:hAnsi="Times New Roman"/>
                <w:i/>
                <w:iCs/>
                <w:sz w:val="20"/>
                <w:szCs w:val="20"/>
                <w:highlight w:val="cyan"/>
              </w:rPr>
            </w:pPr>
            <w:r w:rsidRPr="00D60728">
              <w:rPr>
                <w:rFonts w:ascii="Times New Roman" w:hAnsi="Times New Roman"/>
                <w:i/>
                <w:iCs/>
                <w:sz w:val="20"/>
                <w:szCs w:val="20"/>
              </w:rPr>
              <w:t>Smanjenje emisije uključeno je u referentni scenarij</w:t>
            </w:r>
          </w:p>
        </w:tc>
      </w:tr>
      <w:tr w:rsidR="0074468B" w:rsidRPr="00D60728" w:rsidTr="0074468B">
        <w:trPr>
          <w:trHeight w:val="454"/>
        </w:trPr>
        <w:tc>
          <w:tcPr>
            <w:tcW w:w="1888" w:type="dxa"/>
            <w:vMerge/>
            <w:vAlign w:val="center"/>
          </w:tcPr>
          <w:p w:rsidR="0074468B" w:rsidRPr="00D60728" w:rsidRDefault="0074468B" w:rsidP="00BF7DCC">
            <w:pPr>
              <w:spacing w:line="240" w:lineRule="auto"/>
              <w:rPr>
                <w:rFonts w:ascii="Times New Roman" w:hAnsi="Times New Roman"/>
                <w:sz w:val="20"/>
                <w:szCs w:val="20"/>
              </w:rPr>
            </w:pPr>
          </w:p>
        </w:tc>
        <w:tc>
          <w:tcPr>
            <w:tcW w:w="1803" w:type="dxa"/>
            <w:vMerge/>
            <w:vAlign w:val="center"/>
          </w:tcPr>
          <w:p w:rsidR="0074468B" w:rsidRPr="00D60728" w:rsidRDefault="0074468B" w:rsidP="00BF7DCC">
            <w:pPr>
              <w:spacing w:line="240" w:lineRule="auto"/>
              <w:rPr>
                <w:rFonts w:ascii="Times New Roman" w:hAnsi="Times New Roman"/>
                <w:sz w:val="20"/>
                <w:szCs w:val="20"/>
              </w:rPr>
            </w:pPr>
          </w:p>
        </w:tc>
        <w:tc>
          <w:tcPr>
            <w:tcW w:w="5256" w:type="dxa"/>
            <w:gridSpan w:val="2"/>
            <w:vAlign w:val="center"/>
          </w:tcPr>
          <w:p w:rsidR="0074468B" w:rsidRPr="00D60728" w:rsidRDefault="0074468B" w:rsidP="00BF7DCC">
            <w:pPr>
              <w:pStyle w:val="ListParagraph"/>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Uspostava cjelovitog sustava gospodarenja otpadom prema redu prvenstva koji se provodi u skladu sa ciljevima nacionalnog i EU zakonodavstva;</w:t>
            </w:r>
          </w:p>
          <w:p w:rsidR="0074468B" w:rsidRPr="00D60728" w:rsidRDefault="0074468B" w:rsidP="00BF7DCC">
            <w:pPr>
              <w:pStyle w:val="ListParagraph"/>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lastRenderedPageBreak/>
              <w:t>Učinkovita oporaba otpada - okosnicu sustava čine reciklažni centri sa sortirnicama, cjelokupni odvojeno sakupljeni otpad potrebno je oporabiti - gospodarenje sirovinama - kružno gospodarstvo;</w:t>
            </w:r>
          </w:p>
          <w:p w:rsidR="0074468B" w:rsidRPr="00D60728" w:rsidRDefault="0074468B" w:rsidP="00BF7DCC">
            <w:pPr>
              <w:pStyle w:val="ListParagraph"/>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Prijenos znanja i iskustava zemalja EU u primjeni najboljih raspoloživih tehnika za obradu otpada;</w:t>
            </w:r>
          </w:p>
          <w:p w:rsidR="0074468B" w:rsidRPr="00D60728" w:rsidRDefault="0074468B" w:rsidP="00BF7DCC">
            <w:pPr>
              <w:pStyle w:val="ListParagraph"/>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eastAsia="MS Mincho" w:hAnsi="Times New Roman"/>
                <w:i/>
                <w:sz w:val="20"/>
                <w:szCs w:val="20"/>
              </w:rPr>
              <w:t>Razvoj svijesti o potrebi upravljanja otpadom - kružno gospodarstvo, poticanje međusektorske suradnje;</w:t>
            </w:r>
          </w:p>
          <w:p w:rsidR="0074468B" w:rsidRPr="00D60728" w:rsidRDefault="0074468B" w:rsidP="00BF7DCC">
            <w:pPr>
              <w:pStyle w:val="ListParagraph"/>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Osiguravanje potpora za investicijske projekte.</w:t>
            </w:r>
          </w:p>
        </w:tc>
      </w:tr>
      <w:tr w:rsidR="0074468B" w:rsidRPr="00D60728" w:rsidTr="0074468B">
        <w:trPr>
          <w:trHeight w:val="454"/>
        </w:trPr>
        <w:tc>
          <w:tcPr>
            <w:tcW w:w="1888"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3" w:type="dxa"/>
            <w:vAlign w:val="center"/>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256" w:type="dxa"/>
            <w:gridSpan w:val="2"/>
            <w:vAlign w:val="center"/>
          </w:tcPr>
          <w:p w:rsidR="0074468B" w:rsidRPr="00D60728" w:rsidRDefault="0074468B" w:rsidP="00BF7DCC">
            <w:pPr>
              <w:pStyle w:val="ListParagraph"/>
              <w:numPr>
                <w:ilvl w:val="0"/>
                <w:numId w:val="40"/>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Ostvareno smanjenje količine odloženog krutog otpada;</w:t>
            </w:r>
          </w:p>
          <w:p w:rsidR="0074468B" w:rsidRPr="00D60728" w:rsidRDefault="0074468B" w:rsidP="00BF7DCC">
            <w:pPr>
              <w:pStyle w:val="ListParagraph"/>
              <w:numPr>
                <w:ilvl w:val="0"/>
                <w:numId w:val="40"/>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Ostvareno smanjenje količine odloženog biorazgradivog otpada;</w:t>
            </w:r>
          </w:p>
          <w:p w:rsidR="0074468B" w:rsidRPr="00D60728" w:rsidRDefault="0074468B" w:rsidP="00BF7DCC">
            <w:pPr>
              <w:pStyle w:val="ListParagraph"/>
              <w:numPr>
                <w:ilvl w:val="0"/>
                <w:numId w:val="40"/>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Ostvareno smanjenje emisije stakleničkih plinova.</w:t>
            </w:r>
          </w:p>
        </w:tc>
      </w:tr>
      <w:tr w:rsidR="0074468B" w:rsidRPr="00D60728" w:rsidTr="0074468B">
        <w:trPr>
          <w:trHeight w:val="454"/>
        </w:trPr>
        <w:tc>
          <w:tcPr>
            <w:tcW w:w="1888"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3"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256" w:type="dxa"/>
            <w:gridSpan w:val="2"/>
            <w:vAlign w:val="center"/>
          </w:tcPr>
          <w:p w:rsidR="0074468B" w:rsidRPr="00D60728" w:rsidRDefault="0074468B" w:rsidP="00BF7DCC">
            <w:pPr>
              <w:pStyle w:val="ListParagraph"/>
              <w:numPr>
                <w:ilvl w:val="0"/>
                <w:numId w:val="35"/>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Nacionalni inventar stakleničkih plinova;</w:t>
            </w:r>
          </w:p>
          <w:p w:rsidR="0074468B" w:rsidRPr="00D60728" w:rsidRDefault="0074468B" w:rsidP="00BF7DCC">
            <w:pPr>
              <w:pStyle w:val="ListParagraph"/>
              <w:numPr>
                <w:ilvl w:val="0"/>
                <w:numId w:val="35"/>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 xml:space="preserve">Izvješće o provedbi politika i mjera za smanjenje emisija stakleničkih plinova; </w:t>
            </w:r>
          </w:p>
          <w:p w:rsidR="0074468B" w:rsidRPr="00D60728" w:rsidRDefault="0074468B" w:rsidP="00BF7DCC">
            <w:pPr>
              <w:pStyle w:val="ListParagraph"/>
              <w:numPr>
                <w:ilvl w:val="0"/>
                <w:numId w:val="35"/>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Petogodišnje izvješće o praćenju provedbe NUS.</w:t>
            </w:r>
          </w:p>
        </w:tc>
      </w:tr>
      <w:tr w:rsidR="0074468B" w:rsidRPr="00D60728" w:rsidTr="0074468B">
        <w:trPr>
          <w:trHeight w:val="454"/>
        </w:trPr>
        <w:tc>
          <w:tcPr>
            <w:tcW w:w="3691" w:type="dxa"/>
            <w:gridSpan w:val="2"/>
            <w:vAlign w:val="center"/>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256" w:type="dxa"/>
            <w:gridSpan w:val="2"/>
            <w:vAlign w:val="center"/>
          </w:tcPr>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MWM-5</w:t>
            </w:r>
          </w:p>
        </w:tc>
      </w:tr>
    </w:tbl>
    <w:p w:rsidR="0074468B" w:rsidRPr="00D60728" w:rsidRDefault="0074468B" w:rsidP="00BF7DCC">
      <w:pPr>
        <w:spacing w:line="240" w:lineRule="auto"/>
        <w:rPr>
          <w:sz w:val="20"/>
          <w:szCs w:val="20"/>
        </w:rPr>
      </w:pPr>
    </w:p>
    <w:p w:rsidR="0074468B" w:rsidRPr="00D60728" w:rsidRDefault="0074468B" w:rsidP="00BF7DCC">
      <w:pPr>
        <w:spacing w:line="240" w:lineRule="auto"/>
        <w:rPr>
          <w:sz w:val="20"/>
          <w:szCs w:val="20"/>
        </w:rPr>
      </w:pPr>
    </w:p>
    <w:tbl>
      <w:tblPr>
        <w:tblStyle w:val="TableGrid"/>
        <w:tblW w:w="0" w:type="auto"/>
        <w:tblLook w:val="04A0" w:firstRow="1" w:lastRow="0" w:firstColumn="1" w:lastColumn="0" w:noHBand="0" w:noVBand="1"/>
      </w:tblPr>
      <w:tblGrid>
        <w:gridCol w:w="1882"/>
        <w:gridCol w:w="1800"/>
        <w:gridCol w:w="2744"/>
        <w:gridCol w:w="2521"/>
      </w:tblGrid>
      <w:tr w:rsidR="0074468B" w:rsidRPr="006D54B7" w:rsidTr="0074468B">
        <w:trPr>
          <w:trHeight w:val="454"/>
        </w:trPr>
        <w:tc>
          <w:tcPr>
            <w:tcW w:w="3682" w:type="dxa"/>
            <w:gridSpan w:val="2"/>
            <w:shd w:val="clear" w:color="auto" w:fill="D9D9D9" w:themeFill="background1" w:themeFillShade="D9"/>
            <w:vAlign w:val="center"/>
            <w:hideMark/>
          </w:tcPr>
          <w:p w:rsidR="0074468B" w:rsidRPr="006D54B7" w:rsidRDefault="0074468B" w:rsidP="00BF7DCC">
            <w:pPr>
              <w:spacing w:line="240" w:lineRule="auto"/>
              <w:ind w:right="57"/>
              <w:rPr>
                <w:rFonts w:ascii="Times New Roman" w:hAnsi="Times New Roman"/>
                <w:b/>
                <w:iCs/>
              </w:rPr>
            </w:pPr>
            <w:r w:rsidRPr="006D54B7">
              <w:rPr>
                <w:rFonts w:ascii="Times New Roman" w:hAnsi="Times New Roman"/>
                <w:b/>
                <w:iCs/>
              </w:rPr>
              <w:t>Naziv mjere</w:t>
            </w:r>
          </w:p>
        </w:tc>
        <w:tc>
          <w:tcPr>
            <w:tcW w:w="5265" w:type="dxa"/>
            <w:gridSpan w:val="2"/>
            <w:shd w:val="clear" w:color="auto" w:fill="D9D9D9" w:themeFill="background1" w:themeFillShade="D9"/>
            <w:vAlign w:val="center"/>
            <w:hideMark/>
          </w:tcPr>
          <w:p w:rsidR="0074468B" w:rsidRPr="006D54B7" w:rsidRDefault="0074468B" w:rsidP="00BF7DCC">
            <w:pPr>
              <w:spacing w:line="240" w:lineRule="auto"/>
              <w:ind w:right="57"/>
              <w:rPr>
                <w:rFonts w:ascii="Times New Roman" w:hAnsi="Times New Roman"/>
                <w:b/>
                <w:i/>
                <w:iCs/>
              </w:rPr>
            </w:pPr>
            <w:r w:rsidRPr="000013EE">
              <w:rPr>
                <w:rFonts w:ascii="Times New Roman" w:hAnsi="Times New Roman"/>
                <w:b/>
                <w:i/>
                <w:highlight w:val="yellow"/>
              </w:rPr>
              <w:t>Korištenje bioplina za proizvodnju biometana, električne energije i topline</w:t>
            </w:r>
          </w:p>
        </w:tc>
      </w:tr>
      <w:tr w:rsidR="0074468B" w:rsidRPr="00D60728" w:rsidTr="0074468B">
        <w:trPr>
          <w:trHeight w:val="454"/>
        </w:trPr>
        <w:tc>
          <w:tcPr>
            <w:tcW w:w="3682" w:type="dxa"/>
            <w:gridSpan w:val="2"/>
            <w:vAlign w:val="center"/>
            <w:hideMark/>
          </w:tcPr>
          <w:p w:rsidR="0074468B" w:rsidRPr="00D60728" w:rsidRDefault="0074468B"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265" w:type="dxa"/>
            <w:gridSpan w:val="2"/>
            <w:vAlign w:val="center"/>
            <w:hideMark/>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MWM-5</w:t>
            </w:r>
          </w:p>
        </w:tc>
      </w:tr>
      <w:tr w:rsidR="0074468B" w:rsidRPr="00D60728" w:rsidTr="0074468B">
        <w:trPr>
          <w:trHeight w:val="454"/>
        </w:trPr>
        <w:tc>
          <w:tcPr>
            <w:tcW w:w="1882" w:type="dxa"/>
            <w:vMerge w:val="restart"/>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00"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265" w:type="dxa"/>
            <w:gridSpan w:val="2"/>
            <w:vAlign w:val="center"/>
            <w:hideMark/>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okolišna, ekonomska</w:t>
            </w:r>
          </w:p>
        </w:tc>
      </w:tr>
      <w:tr w:rsidR="0074468B" w:rsidRPr="00D60728" w:rsidTr="0074468B">
        <w:trPr>
          <w:trHeight w:val="454"/>
        </w:trPr>
        <w:tc>
          <w:tcPr>
            <w:tcW w:w="1882"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0" w:type="dxa"/>
            <w:vMerge w:val="restart"/>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265" w:type="dxa"/>
            <w:gridSpan w:val="2"/>
            <w:vAlign w:val="center"/>
            <w:hideMark/>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74468B" w:rsidRPr="00D60728" w:rsidTr="0074468B">
        <w:trPr>
          <w:trHeight w:val="454"/>
        </w:trPr>
        <w:tc>
          <w:tcPr>
            <w:tcW w:w="1882"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0" w:type="dxa"/>
            <w:vMerge/>
            <w:vAlign w:val="center"/>
            <w:hideMark/>
          </w:tcPr>
          <w:p w:rsidR="0074468B" w:rsidRPr="00D60728" w:rsidRDefault="0074468B" w:rsidP="00BF7DCC">
            <w:pPr>
              <w:spacing w:line="240" w:lineRule="auto"/>
              <w:rPr>
                <w:rFonts w:ascii="Times New Roman" w:hAnsi="Times New Roman"/>
                <w:sz w:val="20"/>
                <w:szCs w:val="20"/>
              </w:rPr>
            </w:pPr>
          </w:p>
        </w:tc>
        <w:tc>
          <w:tcPr>
            <w:tcW w:w="5265" w:type="dxa"/>
            <w:gridSpan w:val="2"/>
            <w:vAlign w:val="center"/>
            <w:hideMark/>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74468B" w:rsidRPr="00D60728" w:rsidTr="0074468B">
        <w:trPr>
          <w:trHeight w:val="454"/>
        </w:trPr>
        <w:tc>
          <w:tcPr>
            <w:tcW w:w="1882"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0"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265" w:type="dxa"/>
            <w:gridSpan w:val="2"/>
            <w:vAlign w:val="center"/>
          </w:tcPr>
          <w:p w:rsidR="0074468B" w:rsidRPr="00D60728" w:rsidRDefault="0074468B" w:rsidP="00BF7DCC">
            <w:pPr>
              <w:pStyle w:val="ListParagraph"/>
              <w:numPr>
                <w:ilvl w:val="0"/>
                <w:numId w:val="39"/>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Povećanje udjela obnovljivih izvora energije u proizvodnji električne i toplinske energije;</w:t>
            </w:r>
          </w:p>
          <w:p w:rsidR="0074468B" w:rsidRPr="00D60728" w:rsidRDefault="0074468B" w:rsidP="00BF7DCC">
            <w:pPr>
              <w:pStyle w:val="ListParagraph"/>
              <w:numPr>
                <w:ilvl w:val="0"/>
                <w:numId w:val="39"/>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Povećanje udjela obnovljivih izvora energije u prometu;</w:t>
            </w:r>
          </w:p>
          <w:p w:rsidR="0074468B" w:rsidRPr="00D60728" w:rsidRDefault="0074468B" w:rsidP="00BF7DCC">
            <w:pPr>
              <w:pStyle w:val="ListParagraph"/>
              <w:numPr>
                <w:ilvl w:val="0"/>
                <w:numId w:val="39"/>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Smanjenje emisije stakleničkih plinova;</w:t>
            </w:r>
          </w:p>
          <w:p w:rsidR="0074468B" w:rsidRPr="00D60728" w:rsidRDefault="0074468B" w:rsidP="00BF7DCC">
            <w:pPr>
              <w:pStyle w:val="ListParagraph"/>
              <w:numPr>
                <w:ilvl w:val="0"/>
                <w:numId w:val="39"/>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Ekonomska isplativost.</w:t>
            </w:r>
          </w:p>
        </w:tc>
      </w:tr>
      <w:tr w:rsidR="0074468B" w:rsidRPr="00D60728" w:rsidTr="0074468B">
        <w:trPr>
          <w:trHeight w:val="454"/>
        </w:trPr>
        <w:tc>
          <w:tcPr>
            <w:tcW w:w="1882" w:type="dxa"/>
            <w:vMerge/>
            <w:vAlign w:val="center"/>
          </w:tcPr>
          <w:p w:rsidR="0074468B" w:rsidRPr="00D60728" w:rsidRDefault="0074468B" w:rsidP="00BF7DCC">
            <w:pPr>
              <w:spacing w:line="240" w:lineRule="auto"/>
              <w:rPr>
                <w:rFonts w:ascii="Times New Roman" w:hAnsi="Times New Roman"/>
                <w:sz w:val="20"/>
                <w:szCs w:val="20"/>
              </w:rPr>
            </w:pPr>
          </w:p>
        </w:tc>
        <w:tc>
          <w:tcPr>
            <w:tcW w:w="1800" w:type="dxa"/>
            <w:vAlign w:val="center"/>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265" w:type="dxa"/>
            <w:gridSpan w:val="2"/>
            <w:vAlign w:val="center"/>
          </w:tcPr>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Mjera je povezana s mjerama MEN-17 Poticanje korištenja OIE za proizvodnju električne i toplinske energije u sektoru Energetika te MTR-13 Plan razvoja tržišta naprednih biogoriva u sektoru Promet.</w:t>
            </w:r>
          </w:p>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Potencijal smanjenja emisije CO</w:t>
            </w:r>
            <w:r w:rsidRPr="00D60728">
              <w:rPr>
                <w:rFonts w:ascii="Times New Roman" w:hAnsi="Times New Roman"/>
                <w:i/>
                <w:sz w:val="20"/>
                <w:szCs w:val="20"/>
                <w:vertAlign w:val="subscript"/>
              </w:rPr>
              <w:t>2</w:t>
            </w:r>
            <w:r w:rsidRPr="00D60728">
              <w:rPr>
                <w:rFonts w:ascii="Times New Roman" w:hAnsi="Times New Roman"/>
                <w:i/>
                <w:sz w:val="20"/>
                <w:szCs w:val="20"/>
              </w:rPr>
              <w:t xml:space="preserve"> koji se može ostvariti primjenom ove mjere uključen je u mjere MEN-17 i MTR-13. Potencijal smanjenja emisije CH</w:t>
            </w:r>
            <w:r w:rsidRPr="00D60728">
              <w:rPr>
                <w:rFonts w:ascii="Times New Roman" w:hAnsi="Times New Roman"/>
                <w:i/>
                <w:sz w:val="20"/>
                <w:szCs w:val="20"/>
                <w:vertAlign w:val="subscript"/>
              </w:rPr>
              <w:t>4</w:t>
            </w:r>
            <w:r w:rsidRPr="00D60728">
              <w:rPr>
                <w:rFonts w:ascii="Times New Roman" w:hAnsi="Times New Roman"/>
                <w:i/>
                <w:sz w:val="20"/>
                <w:szCs w:val="20"/>
              </w:rPr>
              <w:t xml:space="preserve"> (nastalog anaerobnom razgradnjom biorazgradive frakcije otpada) koji se može ostvariti primjenom ove mjere uključen je u mjeru MWM-4. </w:t>
            </w:r>
          </w:p>
        </w:tc>
      </w:tr>
      <w:tr w:rsidR="0074468B" w:rsidRPr="00D60728" w:rsidTr="0074468B">
        <w:trPr>
          <w:trHeight w:val="454"/>
        </w:trPr>
        <w:tc>
          <w:tcPr>
            <w:tcW w:w="1882"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0"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265" w:type="dxa"/>
            <w:gridSpan w:val="2"/>
            <w:vAlign w:val="center"/>
            <w:hideMark/>
          </w:tcPr>
          <w:p w:rsidR="0074468B" w:rsidRPr="00D60728" w:rsidRDefault="0074468B" w:rsidP="00BF7DCC">
            <w:pPr>
              <w:spacing w:line="240" w:lineRule="auto"/>
              <w:rPr>
                <w:rFonts w:ascii="Times New Roman" w:hAnsi="Times New Roman"/>
                <w:i/>
                <w:sz w:val="20"/>
                <w:szCs w:val="20"/>
              </w:rPr>
            </w:pPr>
            <w:r w:rsidRPr="00D60728">
              <w:rPr>
                <w:rFonts w:ascii="Times New Roman" w:hAnsi="Times New Roman"/>
                <w:i/>
                <w:sz w:val="20"/>
                <w:szCs w:val="20"/>
              </w:rPr>
              <w:t>Jedinice lokalne i područne (regionalne) samouprave.</w:t>
            </w:r>
          </w:p>
        </w:tc>
      </w:tr>
      <w:tr w:rsidR="0074468B" w:rsidRPr="00D60728" w:rsidTr="0074468B">
        <w:trPr>
          <w:trHeight w:val="454"/>
        </w:trPr>
        <w:tc>
          <w:tcPr>
            <w:tcW w:w="1882" w:type="dxa"/>
            <w:vMerge w:val="restart"/>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00"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265" w:type="dxa"/>
            <w:gridSpan w:val="2"/>
            <w:vAlign w:val="center"/>
          </w:tcPr>
          <w:p w:rsidR="0074468B" w:rsidRPr="00D60728" w:rsidRDefault="0074468B" w:rsidP="00BF7DCC">
            <w:pPr>
              <w:spacing w:line="240" w:lineRule="auto"/>
              <w:rPr>
                <w:rFonts w:ascii="Times New Roman" w:hAnsi="Times New Roman"/>
                <w:i/>
                <w:sz w:val="20"/>
                <w:szCs w:val="20"/>
              </w:rPr>
            </w:pPr>
            <w:r w:rsidRPr="00D60728">
              <w:rPr>
                <w:rFonts w:ascii="Times New Roman" w:hAnsi="Times New Roman"/>
                <w:i/>
                <w:sz w:val="20"/>
                <w:szCs w:val="20"/>
              </w:rPr>
              <w:t>Primjena reda prvenstva gospodarenja otpadom:</w:t>
            </w:r>
          </w:p>
          <w:p w:rsidR="0074468B" w:rsidRPr="00D60728" w:rsidRDefault="0074468B" w:rsidP="00BF7DCC">
            <w:pPr>
              <w:pStyle w:val="ListParagraph"/>
              <w:numPr>
                <w:ilvl w:val="0"/>
                <w:numId w:val="3"/>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Priprema otpada za ponovnu uporabu;</w:t>
            </w:r>
          </w:p>
          <w:p w:rsidR="0074468B" w:rsidRPr="00D60728" w:rsidRDefault="0074468B" w:rsidP="00BF7DCC">
            <w:pPr>
              <w:pStyle w:val="ListParagraph"/>
              <w:numPr>
                <w:ilvl w:val="0"/>
                <w:numId w:val="3"/>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Recikliranje;</w:t>
            </w:r>
          </w:p>
          <w:p w:rsidR="0074468B" w:rsidRPr="00D60728" w:rsidRDefault="0074468B" w:rsidP="00BF7DCC">
            <w:pPr>
              <w:pStyle w:val="ListParagraph"/>
              <w:numPr>
                <w:ilvl w:val="0"/>
                <w:numId w:val="3"/>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Drugi postupci oporabe, npr. energetska oporaba.</w:t>
            </w:r>
          </w:p>
        </w:tc>
      </w:tr>
      <w:tr w:rsidR="0074468B" w:rsidRPr="00D60728" w:rsidTr="0074468B">
        <w:trPr>
          <w:trHeight w:val="454"/>
        </w:trPr>
        <w:tc>
          <w:tcPr>
            <w:tcW w:w="1882"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0"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265" w:type="dxa"/>
            <w:gridSpan w:val="2"/>
            <w:vAlign w:val="center"/>
          </w:tcPr>
          <w:p w:rsidR="0074468B" w:rsidRPr="00D60728" w:rsidRDefault="0074468B" w:rsidP="00BF7DCC">
            <w:pPr>
              <w:pStyle w:val="ListParagraph"/>
              <w:numPr>
                <w:ilvl w:val="0"/>
                <w:numId w:val="38"/>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Nadležna tijela državne vlasti;</w:t>
            </w:r>
          </w:p>
          <w:p w:rsidR="0074468B" w:rsidRPr="00D60728" w:rsidRDefault="0074468B" w:rsidP="00BF7DCC">
            <w:pPr>
              <w:pStyle w:val="ListParagraph"/>
              <w:numPr>
                <w:ilvl w:val="0"/>
                <w:numId w:val="38"/>
              </w:numPr>
              <w:spacing w:line="240" w:lineRule="auto"/>
              <w:ind w:left="234" w:hanging="234"/>
              <w:contextualSpacing w:val="0"/>
              <w:jc w:val="left"/>
              <w:rPr>
                <w:rFonts w:ascii="Times New Roman" w:hAnsi="Times New Roman"/>
                <w:i/>
                <w:sz w:val="20"/>
                <w:szCs w:val="20"/>
              </w:rPr>
            </w:pPr>
            <w:r w:rsidRPr="000013EE">
              <w:rPr>
                <w:rFonts w:ascii="Times New Roman" w:hAnsi="Times New Roman"/>
                <w:i/>
                <w:sz w:val="20"/>
                <w:szCs w:val="20"/>
                <w:highlight w:val="yellow"/>
              </w:rPr>
              <w:t>Jedinice lokalne i područne (regionalne) samouprave</w:t>
            </w:r>
            <w:r w:rsidRPr="00D60728">
              <w:rPr>
                <w:rFonts w:ascii="Times New Roman" w:hAnsi="Times New Roman"/>
                <w:i/>
                <w:sz w:val="20"/>
                <w:szCs w:val="20"/>
              </w:rPr>
              <w:t>.</w:t>
            </w:r>
          </w:p>
        </w:tc>
      </w:tr>
      <w:tr w:rsidR="0074468B" w:rsidRPr="00D60728" w:rsidTr="0074468B">
        <w:trPr>
          <w:trHeight w:val="454"/>
        </w:trPr>
        <w:tc>
          <w:tcPr>
            <w:tcW w:w="1882"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0"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265" w:type="dxa"/>
            <w:gridSpan w:val="2"/>
            <w:vAlign w:val="center"/>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Izvršno tijelo:</w:t>
            </w:r>
          </w:p>
          <w:p w:rsidR="0074468B" w:rsidRPr="00D60728" w:rsidRDefault="0074468B" w:rsidP="00BF7DCC">
            <w:pPr>
              <w:pStyle w:val="ListParagraph"/>
              <w:numPr>
                <w:ilvl w:val="0"/>
                <w:numId w:val="33"/>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Ministarstvo zaštite okoliša i energetike.</w:t>
            </w:r>
          </w:p>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Tijelo za praćenje provedbe:</w:t>
            </w:r>
          </w:p>
          <w:p w:rsidR="0074468B" w:rsidRPr="00D60728" w:rsidRDefault="0074468B" w:rsidP="00BF7DCC">
            <w:pPr>
              <w:pStyle w:val="ListParagraph"/>
              <w:numPr>
                <w:ilvl w:val="0"/>
                <w:numId w:val="33"/>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Ministarstvo zaštite okoliša i energetike.</w:t>
            </w:r>
          </w:p>
        </w:tc>
      </w:tr>
      <w:tr w:rsidR="0074468B" w:rsidRPr="00D60728" w:rsidTr="0074468B">
        <w:trPr>
          <w:trHeight w:val="454"/>
        </w:trPr>
        <w:tc>
          <w:tcPr>
            <w:tcW w:w="1882"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0"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265" w:type="dxa"/>
            <w:gridSpan w:val="2"/>
            <w:vAlign w:val="center"/>
          </w:tcPr>
          <w:p w:rsidR="0074468B" w:rsidRPr="00D60728" w:rsidRDefault="0074468B"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Financijska sredstva: uključeno u sredstva prikazana u sektoru Energetika.</w:t>
            </w:r>
          </w:p>
          <w:p w:rsidR="0074468B" w:rsidRPr="00D60728" w:rsidRDefault="0074468B" w:rsidP="00BF7DCC">
            <w:pPr>
              <w:spacing w:line="240" w:lineRule="auto"/>
              <w:jc w:val="left"/>
              <w:rPr>
                <w:rFonts w:ascii="Times New Roman" w:hAnsi="Times New Roman"/>
                <w:i/>
                <w:iCs/>
                <w:sz w:val="20"/>
                <w:szCs w:val="20"/>
              </w:rPr>
            </w:pPr>
            <w:r w:rsidRPr="00D60728">
              <w:rPr>
                <w:rFonts w:ascii="Times New Roman" w:hAnsi="Times New Roman"/>
                <w:i/>
                <w:sz w:val="20"/>
                <w:szCs w:val="20"/>
              </w:rPr>
              <w:t>Izvori financiranja: korištenje sredstva EU fondova (Kohezijski fond i Europski fond za regionalni razvoj), jedinica lokalne i područne (regionalne) samouprave, komunalnih društava, Fonda za zaštitu okoliša i energetsku učinkovitost, krediti razvojnih banaka (Svjetska banka, Europska banka za razvoj, Europska investicijska banka).</w:t>
            </w:r>
          </w:p>
        </w:tc>
      </w:tr>
      <w:tr w:rsidR="0074468B" w:rsidRPr="00D60728" w:rsidTr="0074468B">
        <w:trPr>
          <w:trHeight w:val="454"/>
        </w:trPr>
        <w:tc>
          <w:tcPr>
            <w:tcW w:w="1882" w:type="dxa"/>
            <w:vMerge w:val="restart"/>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00" w:type="dxa"/>
            <w:vMerge w:val="restart"/>
            <w:vAlign w:val="center"/>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44" w:type="dxa"/>
            <w:vAlign w:val="center"/>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-eq)</w:t>
            </w:r>
          </w:p>
        </w:tc>
        <w:tc>
          <w:tcPr>
            <w:tcW w:w="2521" w:type="dxa"/>
            <w:vAlign w:val="center"/>
          </w:tcPr>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Potencijal smanjenja emisije CO</w:t>
            </w:r>
            <w:r w:rsidRPr="00D60728">
              <w:rPr>
                <w:rFonts w:ascii="Times New Roman" w:hAnsi="Times New Roman"/>
                <w:i/>
                <w:sz w:val="20"/>
                <w:szCs w:val="20"/>
                <w:vertAlign w:val="subscript"/>
              </w:rPr>
              <w:t>2</w:t>
            </w:r>
            <w:r w:rsidRPr="00D60728">
              <w:rPr>
                <w:rFonts w:ascii="Times New Roman" w:hAnsi="Times New Roman"/>
                <w:i/>
                <w:sz w:val="20"/>
                <w:szCs w:val="20"/>
              </w:rPr>
              <w:t xml:space="preserve"> uključen je u mjere MEN-17 i MTR-13.</w:t>
            </w:r>
          </w:p>
          <w:p w:rsidR="0074468B" w:rsidRPr="00D60728" w:rsidRDefault="0074468B" w:rsidP="00BF7DCC">
            <w:pPr>
              <w:spacing w:line="240" w:lineRule="auto"/>
              <w:jc w:val="left"/>
              <w:rPr>
                <w:rFonts w:ascii="Times New Roman" w:hAnsi="Times New Roman"/>
                <w:i/>
                <w:iCs/>
                <w:sz w:val="20"/>
                <w:szCs w:val="20"/>
              </w:rPr>
            </w:pPr>
            <w:r w:rsidRPr="00D60728">
              <w:rPr>
                <w:rFonts w:ascii="Times New Roman" w:hAnsi="Times New Roman"/>
                <w:i/>
                <w:sz w:val="20"/>
                <w:szCs w:val="20"/>
              </w:rPr>
              <w:t>Indirektno smanjenje emisije CH</w:t>
            </w:r>
            <w:r w:rsidRPr="00D60728">
              <w:rPr>
                <w:rFonts w:ascii="Times New Roman" w:hAnsi="Times New Roman"/>
                <w:i/>
                <w:sz w:val="20"/>
                <w:szCs w:val="20"/>
                <w:vertAlign w:val="subscript"/>
              </w:rPr>
              <w:t>4</w:t>
            </w:r>
            <w:r w:rsidRPr="00D60728">
              <w:rPr>
                <w:rFonts w:ascii="Times New Roman" w:hAnsi="Times New Roman"/>
                <w:i/>
                <w:sz w:val="20"/>
                <w:szCs w:val="20"/>
              </w:rPr>
              <w:t xml:space="preserve"> uslijed smanjene količine odloženog biorazgradivog otpada uključeno je u mjeru MWM-4.</w:t>
            </w:r>
          </w:p>
        </w:tc>
      </w:tr>
      <w:tr w:rsidR="0074468B" w:rsidRPr="00D60728" w:rsidTr="0074468B">
        <w:trPr>
          <w:trHeight w:val="454"/>
        </w:trPr>
        <w:tc>
          <w:tcPr>
            <w:tcW w:w="1882" w:type="dxa"/>
            <w:vMerge/>
            <w:vAlign w:val="center"/>
          </w:tcPr>
          <w:p w:rsidR="0074468B" w:rsidRPr="00D60728" w:rsidRDefault="0074468B" w:rsidP="00BF7DCC">
            <w:pPr>
              <w:spacing w:line="240" w:lineRule="auto"/>
              <w:rPr>
                <w:rFonts w:ascii="Times New Roman" w:hAnsi="Times New Roman"/>
                <w:sz w:val="20"/>
                <w:szCs w:val="20"/>
              </w:rPr>
            </w:pPr>
          </w:p>
        </w:tc>
        <w:tc>
          <w:tcPr>
            <w:tcW w:w="1800" w:type="dxa"/>
            <w:vMerge/>
            <w:vAlign w:val="center"/>
          </w:tcPr>
          <w:p w:rsidR="0074468B" w:rsidRPr="00D60728" w:rsidRDefault="0074468B" w:rsidP="00BF7DCC">
            <w:pPr>
              <w:spacing w:line="240" w:lineRule="auto"/>
              <w:rPr>
                <w:rFonts w:ascii="Times New Roman" w:hAnsi="Times New Roman"/>
                <w:sz w:val="20"/>
                <w:szCs w:val="20"/>
              </w:rPr>
            </w:pPr>
          </w:p>
        </w:tc>
        <w:tc>
          <w:tcPr>
            <w:tcW w:w="5265" w:type="dxa"/>
            <w:gridSpan w:val="2"/>
            <w:vAlign w:val="center"/>
          </w:tcPr>
          <w:p w:rsidR="0074468B" w:rsidRPr="00D60728" w:rsidRDefault="0074468B" w:rsidP="00BF7DCC">
            <w:pPr>
              <w:pStyle w:val="ListParagraph"/>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Porast proizvodnje električne i toplinske energije iz obnovljivih izvora energije - elektrane na bioplin;</w:t>
            </w:r>
          </w:p>
          <w:p w:rsidR="0074468B" w:rsidRPr="00D60728" w:rsidRDefault="0074468B" w:rsidP="00BF7DCC">
            <w:pPr>
              <w:pStyle w:val="ListParagraph"/>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Smanjenje potrošnje primarne energije;</w:t>
            </w:r>
          </w:p>
          <w:p w:rsidR="0074468B" w:rsidRPr="00D60728" w:rsidRDefault="0074468B" w:rsidP="00BF7DCC">
            <w:pPr>
              <w:pStyle w:val="ListParagraph"/>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Razvoj tržišta naprednih goriva - biometan;</w:t>
            </w:r>
          </w:p>
          <w:p w:rsidR="0074468B" w:rsidRPr="00D60728" w:rsidRDefault="0074468B" w:rsidP="00BF7DCC">
            <w:pPr>
              <w:pStyle w:val="ListParagraph"/>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Prijenos znanja i iskustava zemalja EU u primjeni najboljih raspoloživih tehnika za korištenje bioplina dobivenog iz otpada;</w:t>
            </w:r>
          </w:p>
          <w:p w:rsidR="0074468B" w:rsidRPr="00D60728" w:rsidRDefault="0074468B" w:rsidP="00BF7DCC">
            <w:pPr>
              <w:pStyle w:val="ListParagraph"/>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eastAsia="MS Mincho" w:hAnsi="Times New Roman"/>
                <w:i/>
                <w:sz w:val="20"/>
                <w:szCs w:val="20"/>
              </w:rPr>
              <w:t>Poticanje međusektorske suradnje;</w:t>
            </w:r>
          </w:p>
          <w:p w:rsidR="0074468B" w:rsidRPr="00D60728" w:rsidRDefault="0074468B" w:rsidP="00BF7DCC">
            <w:pPr>
              <w:pStyle w:val="ListParagraph"/>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Osiguravanje potpora za investicijske projekte;</w:t>
            </w:r>
          </w:p>
          <w:p w:rsidR="0074468B" w:rsidRPr="00D60728" w:rsidRDefault="0074468B" w:rsidP="00BF7DCC">
            <w:pPr>
              <w:pStyle w:val="ListParagraph"/>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Razvoj ruralnih područja.</w:t>
            </w:r>
          </w:p>
        </w:tc>
      </w:tr>
      <w:tr w:rsidR="0074468B" w:rsidRPr="00D60728" w:rsidTr="0074468B">
        <w:trPr>
          <w:trHeight w:val="454"/>
        </w:trPr>
        <w:tc>
          <w:tcPr>
            <w:tcW w:w="1882"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0" w:type="dxa"/>
            <w:vAlign w:val="center"/>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265" w:type="dxa"/>
            <w:gridSpan w:val="2"/>
            <w:vAlign w:val="center"/>
          </w:tcPr>
          <w:p w:rsidR="0074468B" w:rsidRPr="00D60728" w:rsidRDefault="0074468B" w:rsidP="00BF7DCC">
            <w:pPr>
              <w:pStyle w:val="ListParagraph"/>
              <w:numPr>
                <w:ilvl w:val="0"/>
                <w:numId w:val="40"/>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Ostvarena proizvodnja električne i toplinske energije iz obnovljivih izvora energije - bioplin;</w:t>
            </w:r>
          </w:p>
          <w:p w:rsidR="0074468B" w:rsidRPr="00D60728" w:rsidRDefault="0074468B" w:rsidP="00BF7DCC">
            <w:pPr>
              <w:pStyle w:val="ListParagraph"/>
              <w:numPr>
                <w:ilvl w:val="0"/>
                <w:numId w:val="40"/>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Postizanje planiranog udjela naprednih goriva u neposrednoj potrošnji energije u prometu;</w:t>
            </w:r>
          </w:p>
          <w:p w:rsidR="0074468B" w:rsidRPr="00D60728" w:rsidRDefault="0074468B" w:rsidP="00BF7DCC">
            <w:pPr>
              <w:pStyle w:val="ListParagraph"/>
              <w:numPr>
                <w:ilvl w:val="0"/>
                <w:numId w:val="40"/>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Ostvareno smanjenje emisije stakleničkih plinova.</w:t>
            </w:r>
          </w:p>
        </w:tc>
      </w:tr>
      <w:tr w:rsidR="0074468B" w:rsidRPr="00D60728" w:rsidTr="0074468B">
        <w:trPr>
          <w:trHeight w:val="454"/>
        </w:trPr>
        <w:tc>
          <w:tcPr>
            <w:tcW w:w="1882"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0"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265" w:type="dxa"/>
            <w:gridSpan w:val="2"/>
            <w:vAlign w:val="center"/>
          </w:tcPr>
          <w:p w:rsidR="0074468B" w:rsidRPr="00D60728" w:rsidRDefault="0074468B" w:rsidP="00BF7DCC">
            <w:pPr>
              <w:pStyle w:val="ListParagraph"/>
              <w:numPr>
                <w:ilvl w:val="0"/>
                <w:numId w:val="35"/>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Nacionalni inventar stakleničkih plinova;</w:t>
            </w:r>
          </w:p>
          <w:p w:rsidR="0074468B" w:rsidRPr="00D60728" w:rsidRDefault="0074468B" w:rsidP="00BF7DCC">
            <w:pPr>
              <w:pStyle w:val="ListParagraph"/>
              <w:numPr>
                <w:ilvl w:val="0"/>
                <w:numId w:val="35"/>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 xml:space="preserve">Izvješće o provedbi politika i mjera za smanjenje emisija stakleničkih plinova; </w:t>
            </w:r>
          </w:p>
          <w:p w:rsidR="0074468B" w:rsidRPr="00D60728" w:rsidRDefault="0074468B" w:rsidP="00BF7DCC">
            <w:pPr>
              <w:pStyle w:val="ListParagraph"/>
              <w:numPr>
                <w:ilvl w:val="0"/>
                <w:numId w:val="35"/>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Petogodišnje izvješće o praćenju provedbe NUS.</w:t>
            </w:r>
          </w:p>
        </w:tc>
      </w:tr>
      <w:tr w:rsidR="0074468B" w:rsidRPr="00D60728" w:rsidTr="0074468B">
        <w:trPr>
          <w:trHeight w:val="454"/>
        </w:trPr>
        <w:tc>
          <w:tcPr>
            <w:tcW w:w="3682" w:type="dxa"/>
            <w:gridSpan w:val="2"/>
            <w:vAlign w:val="center"/>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265" w:type="dxa"/>
            <w:gridSpan w:val="2"/>
            <w:vAlign w:val="center"/>
          </w:tcPr>
          <w:p w:rsidR="0074468B" w:rsidRPr="00D60728" w:rsidRDefault="0074468B" w:rsidP="00BF7DCC">
            <w:pPr>
              <w:spacing w:line="240" w:lineRule="auto"/>
              <w:ind w:right="57"/>
              <w:rPr>
                <w:rFonts w:ascii="Times New Roman" w:hAnsi="Times New Roman"/>
                <w:i/>
                <w:sz w:val="20"/>
                <w:szCs w:val="20"/>
              </w:rPr>
            </w:pPr>
            <w:r w:rsidRPr="00D60728">
              <w:rPr>
                <w:rFonts w:ascii="Times New Roman" w:hAnsi="Times New Roman"/>
                <w:i/>
                <w:sz w:val="20"/>
                <w:szCs w:val="20"/>
              </w:rPr>
              <w:t>MEN-17, MTR-13, MWM-4</w:t>
            </w:r>
          </w:p>
        </w:tc>
      </w:tr>
    </w:tbl>
    <w:p w:rsidR="0074468B" w:rsidRPr="00D60728" w:rsidRDefault="0074468B" w:rsidP="00BF7DCC">
      <w:pPr>
        <w:spacing w:line="240" w:lineRule="auto"/>
        <w:rPr>
          <w:sz w:val="20"/>
          <w:szCs w:val="20"/>
        </w:rPr>
      </w:pPr>
    </w:p>
    <w:p w:rsidR="0074468B" w:rsidRPr="00D60728" w:rsidRDefault="0074468B" w:rsidP="00BF7DCC">
      <w:pPr>
        <w:pStyle w:val="NASLOVPOGLAVLJA"/>
        <w:spacing w:after="0" w:line="240" w:lineRule="auto"/>
        <w:ind w:left="0" w:firstLine="0"/>
        <w:rPr>
          <w:sz w:val="20"/>
          <w:szCs w:val="20"/>
        </w:rPr>
      </w:pPr>
    </w:p>
    <w:p w:rsidR="00193ACC" w:rsidRPr="00D60728" w:rsidRDefault="00193ACC" w:rsidP="00BF7DCC">
      <w:pPr>
        <w:spacing w:line="240" w:lineRule="auto"/>
        <w:rPr>
          <w:sz w:val="20"/>
          <w:szCs w:val="20"/>
        </w:rPr>
      </w:pPr>
    </w:p>
    <w:p w:rsidR="00795F48" w:rsidRPr="00D60728" w:rsidRDefault="00795F48" w:rsidP="00BF7DCC">
      <w:pPr>
        <w:pStyle w:val="NASLOVPOGLAVLJA"/>
        <w:spacing w:after="0" w:line="240" w:lineRule="auto"/>
        <w:ind w:left="0" w:firstLine="0"/>
        <w:rPr>
          <w:sz w:val="20"/>
          <w:szCs w:val="20"/>
        </w:rPr>
      </w:pPr>
    </w:p>
    <w:p w:rsidR="00193ACC" w:rsidRPr="00D60728" w:rsidRDefault="00193ACC" w:rsidP="00BF7DCC">
      <w:pPr>
        <w:spacing w:line="240" w:lineRule="auto"/>
        <w:jc w:val="left"/>
        <w:rPr>
          <w:b/>
          <w:sz w:val="20"/>
          <w:szCs w:val="20"/>
        </w:rPr>
      </w:pPr>
      <w:r w:rsidRPr="00D60728">
        <w:rPr>
          <w:sz w:val="20"/>
          <w:szCs w:val="20"/>
        </w:rPr>
        <w:br w:type="page"/>
      </w:r>
    </w:p>
    <w:p w:rsidR="002D5E59" w:rsidRPr="00D60728" w:rsidRDefault="002D5E59" w:rsidP="00BF7DCC">
      <w:pPr>
        <w:pStyle w:val="Heading3"/>
        <w:spacing w:before="0" w:line="240" w:lineRule="auto"/>
        <w:rPr>
          <w:rFonts w:ascii="Times New Roman" w:hAnsi="Times New Roman" w:cs="Times New Roman"/>
        </w:rPr>
      </w:pPr>
      <w:bookmarkStart w:id="38" w:name="_Toc34147574"/>
      <w:r w:rsidRPr="00D60728">
        <w:rPr>
          <w:rFonts w:ascii="Times New Roman" w:hAnsi="Times New Roman" w:cs="Times New Roman"/>
        </w:rPr>
        <w:lastRenderedPageBreak/>
        <w:t>3.3.</w:t>
      </w:r>
      <w:r w:rsidR="0064574C" w:rsidRPr="00D60728">
        <w:rPr>
          <w:rFonts w:ascii="Times New Roman" w:hAnsi="Times New Roman" w:cs="Times New Roman"/>
        </w:rPr>
        <w:t>6</w:t>
      </w:r>
      <w:r w:rsidRPr="00D60728">
        <w:rPr>
          <w:rFonts w:ascii="Times New Roman" w:hAnsi="Times New Roman" w:cs="Times New Roman"/>
        </w:rPr>
        <w:t>.</w:t>
      </w:r>
      <w:r w:rsidRPr="00D60728">
        <w:rPr>
          <w:rFonts w:ascii="Times New Roman" w:hAnsi="Times New Roman" w:cs="Times New Roman"/>
        </w:rPr>
        <w:tab/>
        <w:t>Korištenje zemljišta, promjene u korištenju zemljišta i šumarstvo (LULUCF)</w:t>
      </w:r>
      <w:bookmarkEnd w:id="38"/>
    </w:p>
    <w:p w:rsidR="002D5E59" w:rsidRPr="00D60728" w:rsidRDefault="002D5E59" w:rsidP="00BF7DCC">
      <w:pPr>
        <w:spacing w:line="240" w:lineRule="auto"/>
        <w:rPr>
          <w:sz w:val="20"/>
          <w:szCs w:val="20"/>
        </w:rPr>
      </w:pPr>
    </w:p>
    <w:tbl>
      <w:tblPr>
        <w:tblStyle w:val="TableGrid"/>
        <w:tblW w:w="0" w:type="auto"/>
        <w:tblLook w:val="04A0" w:firstRow="1" w:lastRow="0" w:firstColumn="1" w:lastColumn="0" w:noHBand="0" w:noVBand="1"/>
      </w:tblPr>
      <w:tblGrid>
        <w:gridCol w:w="1882"/>
        <w:gridCol w:w="1800"/>
        <w:gridCol w:w="5265"/>
      </w:tblGrid>
      <w:tr w:rsidR="002D5E59" w:rsidRPr="006D54B7" w:rsidTr="00BA77D2">
        <w:trPr>
          <w:trHeight w:val="454"/>
        </w:trPr>
        <w:tc>
          <w:tcPr>
            <w:tcW w:w="3682" w:type="dxa"/>
            <w:gridSpan w:val="2"/>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Cs/>
              </w:rPr>
            </w:pPr>
            <w:r w:rsidRPr="006D54B7">
              <w:rPr>
                <w:rFonts w:ascii="Times New Roman" w:hAnsi="Times New Roman"/>
                <w:b/>
                <w:iCs/>
              </w:rPr>
              <w:t>Naziv mjere</w:t>
            </w:r>
          </w:p>
        </w:tc>
        <w:tc>
          <w:tcPr>
            <w:tcW w:w="5265" w:type="dxa"/>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
                <w:iCs/>
              </w:rPr>
            </w:pPr>
            <w:r w:rsidRPr="006D54B7">
              <w:rPr>
                <w:rFonts w:ascii="Times New Roman" w:hAnsi="Times New Roman"/>
                <w:b/>
                <w:i/>
                <w:iCs/>
              </w:rPr>
              <w:t>Izrada Strategije upravljanja zemljištem RH</w:t>
            </w:r>
          </w:p>
        </w:tc>
      </w:tr>
      <w:tr w:rsidR="002D5E59" w:rsidRPr="00D60728" w:rsidTr="00BA77D2">
        <w:trPr>
          <w:trHeight w:val="454"/>
        </w:trPr>
        <w:tc>
          <w:tcPr>
            <w:tcW w:w="3682" w:type="dxa"/>
            <w:gridSpan w:val="2"/>
            <w:vAlign w:val="center"/>
            <w:hideMark/>
          </w:tcPr>
          <w:p w:rsidR="002D5E59" w:rsidRPr="00D60728" w:rsidRDefault="002D5E59"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265" w:type="dxa"/>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Obuhvaća MLF-1 i MLF-7</w:t>
            </w:r>
          </w:p>
        </w:tc>
      </w:tr>
      <w:tr w:rsidR="002D5E59" w:rsidRPr="00D60728" w:rsidTr="00BA77D2">
        <w:trPr>
          <w:trHeight w:val="454"/>
        </w:trPr>
        <w:tc>
          <w:tcPr>
            <w:tcW w:w="1882"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265" w:type="dxa"/>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Vrsta mjere: ekonomska, informacijska, regulatorna</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265" w:type="dxa"/>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Merge/>
            <w:vAlign w:val="center"/>
            <w:hideMark/>
          </w:tcPr>
          <w:p w:rsidR="002D5E59" w:rsidRPr="00D60728" w:rsidRDefault="002D5E59" w:rsidP="00BF7DCC">
            <w:pPr>
              <w:spacing w:line="240" w:lineRule="auto"/>
              <w:rPr>
                <w:rFonts w:ascii="Times New Roman" w:hAnsi="Times New Roman"/>
                <w:sz w:val="20"/>
                <w:szCs w:val="20"/>
              </w:rPr>
            </w:pPr>
          </w:p>
        </w:tc>
        <w:tc>
          <w:tcPr>
            <w:tcW w:w="5265" w:type="dxa"/>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Kraj: 2027</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265" w:type="dxa"/>
            <w:vAlign w:val="center"/>
          </w:tcPr>
          <w:p w:rsidR="002D5E59" w:rsidRPr="00D60728" w:rsidRDefault="002D5E59" w:rsidP="00BF7DCC">
            <w:pPr>
              <w:pStyle w:val="ListParagraph"/>
              <w:numPr>
                <w:ilvl w:val="0"/>
                <w:numId w:val="22"/>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Povećanje odliva ugljikova dioksida iz sektora LULUCF</w:t>
            </w:r>
          </w:p>
          <w:p w:rsidR="002D5E59" w:rsidRPr="00D60728" w:rsidRDefault="002D5E59" w:rsidP="00BF7DCC">
            <w:pPr>
              <w:pStyle w:val="ListParagraph"/>
              <w:numPr>
                <w:ilvl w:val="0"/>
                <w:numId w:val="22"/>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Smanjenje emisija stakleničkih plinova iz sek</w:t>
            </w:r>
            <w:r w:rsidR="009B4BDC">
              <w:rPr>
                <w:rFonts w:ascii="Times New Roman" w:hAnsi="Times New Roman"/>
                <w:i/>
                <w:iCs/>
                <w:sz w:val="20"/>
                <w:szCs w:val="20"/>
              </w:rPr>
              <w:t>t</w:t>
            </w:r>
            <w:r w:rsidRPr="00D60728">
              <w:rPr>
                <w:rFonts w:ascii="Times New Roman" w:hAnsi="Times New Roman"/>
                <w:i/>
                <w:iCs/>
                <w:sz w:val="20"/>
                <w:szCs w:val="20"/>
              </w:rPr>
              <w:t>ora LULUCF</w:t>
            </w:r>
          </w:p>
          <w:p w:rsidR="002D5E59" w:rsidRPr="00D60728" w:rsidRDefault="002D5E59" w:rsidP="00BF7DCC">
            <w:pPr>
              <w:pStyle w:val="ListParagraph"/>
              <w:numPr>
                <w:ilvl w:val="0"/>
                <w:numId w:val="22"/>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Usuglasiti ciljeve EU o povećanju udjela energije iz obnovljivih izvora sa zahtjevima o smanjenju emisija</w:t>
            </w:r>
          </w:p>
        </w:tc>
      </w:tr>
      <w:tr w:rsidR="002D5E59" w:rsidRPr="00D60728" w:rsidTr="00BA77D2">
        <w:trPr>
          <w:trHeight w:val="454"/>
        </w:trPr>
        <w:tc>
          <w:tcPr>
            <w:tcW w:w="1882" w:type="dxa"/>
            <w:vMerge/>
            <w:vAlign w:val="center"/>
          </w:tcPr>
          <w:p w:rsidR="002D5E59" w:rsidRPr="00D60728" w:rsidRDefault="002D5E59" w:rsidP="00BF7DCC">
            <w:pPr>
              <w:spacing w:line="240" w:lineRule="auto"/>
              <w:rPr>
                <w:rFonts w:ascii="Times New Roman" w:hAnsi="Times New Roman"/>
                <w:sz w:val="20"/>
                <w:szCs w:val="20"/>
              </w:rPr>
            </w:pPr>
          </w:p>
        </w:tc>
        <w:tc>
          <w:tcPr>
            <w:tcW w:w="1800"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265" w:type="dxa"/>
            <w:vAlign w:val="center"/>
          </w:tcPr>
          <w:p w:rsidR="002D5E59" w:rsidRPr="00D60728" w:rsidRDefault="002D5E59" w:rsidP="00BF7DCC">
            <w:pPr>
              <w:spacing w:line="240" w:lineRule="auto"/>
              <w:rPr>
                <w:rFonts w:ascii="Times New Roman" w:hAnsi="Times New Roman"/>
                <w:i/>
                <w:sz w:val="20"/>
                <w:szCs w:val="20"/>
              </w:rPr>
            </w:pPr>
            <w:r w:rsidRPr="00D60728">
              <w:rPr>
                <w:rFonts w:ascii="Times New Roman" w:hAnsi="Times New Roman"/>
                <w:i/>
                <w:iCs/>
                <w:sz w:val="20"/>
                <w:szCs w:val="20"/>
              </w:rPr>
              <w:t>Izračun emisija/odliva u LULUCF sektoru, te navedeni projekti  (provedbene aktivnosti) trebaju činiti osnovu za planiranje pokrova, uporabe i načina gospodarenja LULUCF kategorijama zemljišta za svako od pohraništa radi razvoja Strategije upravljanja zemljištem te kako bi se pravilno definirale daljnje (pod)mjere koje će se na pojedinoj kategoriji zemljišta provoditi a kojima će se smanjivati emisije i povećavati odlivi stakleničkih plinova u RH. Unaprjeđenje i definiranje budućih mjera trebaju činiti sastavni dio ove strategije</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265" w:type="dxa"/>
            <w:vAlign w:val="center"/>
            <w:hideMark/>
          </w:tcPr>
          <w:p w:rsidR="002D5E59" w:rsidRPr="00D60728" w:rsidRDefault="002D5E59"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 xml:space="preserve">Ministarstvo zaštite okoliša i energetike, Ministarstvo poljoprivrede, Ministarstvo graditeljstva i prostornoga uređenja, Ministarstvo regionalnoga razvoja i fondova Europske unije,  Hrvatske šume d.o.o. </w:t>
            </w:r>
          </w:p>
        </w:tc>
      </w:tr>
      <w:tr w:rsidR="002D5E59" w:rsidRPr="00D60728" w:rsidTr="00BA77D2">
        <w:trPr>
          <w:trHeight w:val="454"/>
        </w:trPr>
        <w:tc>
          <w:tcPr>
            <w:tcW w:w="1882"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265" w:type="dxa"/>
            <w:vAlign w:val="center"/>
          </w:tcPr>
          <w:p w:rsidR="002D5E59" w:rsidRPr="00D60728" w:rsidRDefault="002D5E59" w:rsidP="00BF7DCC">
            <w:pPr>
              <w:spacing w:line="240" w:lineRule="auto"/>
              <w:rPr>
                <w:rFonts w:ascii="Times New Roman" w:hAnsi="Times New Roman"/>
                <w:i/>
                <w:sz w:val="20"/>
                <w:szCs w:val="20"/>
              </w:rPr>
            </w:pPr>
            <w:r w:rsidRPr="00D60728">
              <w:rPr>
                <w:rFonts w:ascii="Times New Roman" w:hAnsi="Times New Roman"/>
                <w:i/>
                <w:sz w:val="20"/>
                <w:szCs w:val="20"/>
              </w:rPr>
              <w:t>Učinkovito planiranje mjera kojima će se osigurati smanjenje emisija, povećanje odliva i ispunjavanje obaveza definiranih Uredbom 2018/841 u periodu do 2030. odnosno 2050. godine potrebno je izraditi Strategiju upravljanja zemljištem RH. Detaljno poznavanje emisija/odliva do kojih dolazi u svakom pohraništu u svakoj kategoriji zemljišta je preduvjet dobrog planiranja mjera za smanjenje emisija i povećanje odliva koje trebaju biti prepoznate i činiti sastavni dio mjera Programa ruralnog razvitka RH koje će biti financirane u RH nakon 2027. godine. Do izrade Strategije upravljanja zemljištem koja bi kao temeljno polazište daljnjeg upravljanja zemljištem (pokrov, uporaba zemljišta, načini gospodarenja na pojenoj kategoriji zemljišta) uzimala emisije/odlive u pojedinoj LULUCF kategoriji zemljišta, u RH je potrebno provoditi prakse gospodarenja zemljištem koje su do sada rezultirale odlivima. Preduvjeti za izradu Strategije su:</w:t>
            </w:r>
          </w:p>
          <w:p w:rsidR="002D5E59" w:rsidRPr="00D60728" w:rsidRDefault="002D5E59" w:rsidP="00BF7DCC">
            <w:pPr>
              <w:pStyle w:val="ListParagraph"/>
              <w:numPr>
                <w:ilvl w:val="0"/>
                <w:numId w:val="23"/>
              </w:numPr>
              <w:spacing w:line="240" w:lineRule="auto"/>
              <w:rPr>
                <w:rFonts w:ascii="Times New Roman" w:hAnsi="Times New Roman"/>
                <w:i/>
                <w:sz w:val="20"/>
                <w:szCs w:val="20"/>
              </w:rPr>
            </w:pPr>
            <w:r w:rsidRPr="00D60728">
              <w:rPr>
                <w:rFonts w:ascii="Times New Roman" w:hAnsi="Times New Roman"/>
                <w:i/>
                <w:sz w:val="20"/>
                <w:szCs w:val="20"/>
              </w:rPr>
              <w:t xml:space="preserve">Uspostaviti jedinstveni informacijski sustav zemljišta u Republici Hrvatskoj ili utvrditi površine pojedine LULUCF kategorije zemljišta upotrebom prostorno točno utvrđenih podataka, za svaku kategoriju zemljišta te za svaku vrste prenamjene zemljišta iz jedne kategorije zemljišta u drugu </w:t>
            </w:r>
          </w:p>
          <w:p w:rsidR="002D5E59" w:rsidRPr="00D60728" w:rsidRDefault="002D5E59" w:rsidP="00BF7DCC">
            <w:pPr>
              <w:pStyle w:val="ListParagraph"/>
              <w:numPr>
                <w:ilvl w:val="0"/>
                <w:numId w:val="23"/>
              </w:numPr>
              <w:spacing w:line="240" w:lineRule="auto"/>
              <w:rPr>
                <w:rFonts w:ascii="Times New Roman" w:hAnsi="Times New Roman"/>
                <w:i/>
                <w:sz w:val="20"/>
                <w:szCs w:val="20"/>
              </w:rPr>
            </w:pPr>
            <w:r w:rsidRPr="00D60728">
              <w:rPr>
                <w:rFonts w:ascii="Times New Roman" w:hAnsi="Times New Roman"/>
                <w:i/>
                <w:sz w:val="20"/>
                <w:szCs w:val="20"/>
              </w:rPr>
              <w:t xml:space="preserve">Presti analizu svih LULUCF kategorija zemljišta u ovisnosti o pokrovu, uporabi zemljišta te praksama gospodarenja koje se na svakom zemljištu koriste  i s time povezanim emisijama/odlivima radi razmatranja potencijala svakog od pohraništa unutar svake </w:t>
            </w:r>
            <w:r w:rsidRPr="00D60728">
              <w:rPr>
                <w:rFonts w:ascii="Times New Roman" w:hAnsi="Times New Roman"/>
                <w:i/>
                <w:sz w:val="20"/>
                <w:szCs w:val="20"/>
              </w:rPr>
              <w:lastRenderedPageBreak/>
              <w:t>LULUCF kategorije zemljišta za smanjenje emisija i povećanje odliva stakleničkih plinova</w:t>
            </w:r>
          </w:p>
          <w:p w:rsidR="002D5E59" w:rsidRPr="00D60728" w:rsidRDefault="002D5E59" w:rsidP="00BF7DCC">
            <w:pPr>
              <w:pStyle w:val="ListParagraph"/>
              <w:numPr>
                <w:ilvl w:val="0"/>
                <w:numId w:val="23"/>
              </w:numPr>
              <w:spacing w:line="240" w:lineRule="auto"/>
              <w:rPr>
                <w:rFonts w:ascii="Times New Roman" w:hAnsi="Times New Roman"/>
                <w:i/>
                <w:sz w:val="20"/>
                <w:szCs w:val="20"/>
              </w:rPr>
            </w:pPr>
            <w:r w:rsidRPr="00D60728">
              <w:rPr>
                <w:rFonts w:ascii="Times New Roman" w:hAnsi="Times New Roman"/>
                <w:i/>
                <w:sz w:val="20"/>
                <w:szCs w:val="20"/>
              </w:rPr>
              <w:t xml:space="preserve">Izraditi detaljne projekcije razvoja budućih emisija/odliva u LULUCF sektoru po provedbi analiza svih LULUCF kategorija zemljišta </w:t>
            </w:r>
          </w:p>
          <w:p w:rsidR="002D5E59" w:rsidRPr="00D60728" w:rsidRDefault="002D5E59" w:rsidP="00BF7DCC">
            <w:pPr>
              <w:pStyle w:val="ListParagraph"/>
              <w:numPr>
                <w:ilvl w:val="0"/>
                <w:numId w:val="23"/>
              </w:numPr>
              <w:spacing w:line="240" w:lineRule="auto"/>
              <w:rPr>
                <w:rFonts w:ascii="Times New Roman" w:hAnsi="Times New Roman"/>
                <w:i/>
                <w:sz w:val="20"/>
                <w:szCs w:val="20"/>
              </w:rPr>
            </w:pPr>
            <w:r w:rsidRPr="00D60728">
              <w:rPr>
                <w:rFonts w:ascii="Times New Roman" w:hAnsi="Times New Roman"/>
                <w:i/>
                <w:sz w:val="20"/>
                <w:szCs w:val="20"/>
              </w:rPr>
              <w:t>Provedba stručnih i znanstvenih projekata</w:t>
            </w:r>
          </w:p>
          <w:p w:rsidR="002D5E59" w:rsidRPr="00D60728" w:rsidRDefault="002D5E59" w:rsidP="00BF7DCC">
            <w:pPr>
              <w:pStyle w:val="ListParagraph"/>
              <w:spacing w:line="240" w:lineRule="auto"/>
              <w:ind w:left="284"/>
              <w:contextualSpacing w:val="0"/>
              <w:rPr>
                <w:rFonts w:ascii="Times New Roman" w:hAnsi="Times New Roman"/>
                <w:i/>
                <w:sz w:val="20"/>
                <w:szCs w:val="20"/>
              </w:rPr>
            </w:pP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265"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Ministarstvo zaštite okoliša i energetike </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265"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Ministarstvo poljoprivrede </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Hrvatske šume d.o.o.</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265" w:type="dxa"/>
            <w:vAlign w:val="center"/>
          </w:tcPr>
          <w:p w:rsidR="002D5E59" w:rsidRPr="00D60728" w:rsidRDefault="002D5E59" w:rsidP="00BF7DCC">
            <w:pPr>
              <w:pStyle w:val="ListParagraph"/>
              <w:numPr>
                <w:ilvl w:val="0"/>
                <w:numId w:val="24"/>
              </w:numPr>
              <w:spacing w:line="240" w:lineRule="auto"/>
              <w:contextualSpacing w:val="0"/>
              <w:rPr>
                <w:rFonts w:ascii="Times New Roman" w:hAnsi="Times New Roman"/>
                <w:i/>
                <w:iCs/>
                <w:sz w:val="20"/>
                <w:szCs w:val="20"/>
              </w:rPr>
            </w:pPr>
            <w:r w:rsidRPr="00D60728">
              <w:rPr>
                <w:rFonts w:ascii="Times New Roman" w:hAnsi="Times New Roman"/>
                <w:i/>
                <w:iCs/>
                <w:sz w:val="20"/>
                <w:szCs w:val="20"/>
              </w:rPr>
              <w:t>Informacijski sustav zemljišta / utvrditi površine pojedine LULUCF kategorije – 40 milujuna kuna (MZOE)</w:t>
            </w:r>
          </w:p>
          <w:p w:rsidR="002D5E59" w:rsidRPr="00D60728" w:rsidRDefault="002D5E59" w:rsidP="00BF7DCC">
            <w:pPr>
              <w:pStyle w:val="ListParagraph"/>
              <w:numPr>
                <w:ilvl w:val="0"/>
                <w:numId w:val="24"/>
              </w:numPr>
              <w:spacing w:line="240" w:lineRule="auto"/>
              <w:contextualSpacing w:val="0"/>
              <w:rPr>
                <w:rFonts w:ascii="Times New Roman" w:hAnsi="Times New Roman"/>
                <w:i/>
                <w:iCs/>
                <w:sz w:val="20"/>
                <w:szCs w:val="20"/>
              </w:rPr>
            </w:pPr>
            <w:r w:rsidRPr="00D60728">
              <w:rPr>
                <w:rFonts w:ascii="Times New Roman" w:hAnsi="Times New Roman"/>
                <w:i/>
                <w:iCs/>
                <w:sz w:val="20"/>
                <w:szCs w:val="20"/>
              </w:rPr>
              <w:t>Analiza LULUCF kategorija zemljišta po ugljikovim spremnicima – 20 milijuna kuna (MZOE)</w:t>
            </w:r>
          </w:p>
          <w:p w:rsidR="002D5E59" w:rsidRPr="00D60728" w:rsidRDefault="002D5E59" w:rsidP="00BF7DCC">
            <w:pPr>
              <w:pStyle w:val="ListParagraph"/>
              <w:numPr>
                <w:ilvl w:val="0"/>
                <w:numId w:val="24"/>
              </w:numPr>
              <w:spacing w:line="240" w:lineRule="auto"/>
              <w:contextualSpacing w:val="0"/>
              <w:rPr>
                <w:rFonts w:ascii="Times New Roman" w:hAnsi="Times New Roman"/>
                <w:i/>
                <w:iCs/>
                <w:sz w:val="20"/>
                <w:szCs w:val="20"/>
              </w:rPr>
            </w:pPr>
            <w:r w:rsidRPr="00D60728">
              <w:rPr>
                <w:rFonts w:ascii="Times New Roman" w:hAnsi="Times New Roman"/>
                <w:i/>
                <w:iCs/>
                <w:sz w:val="20"/>
                <w:szCs w:val="20"/>
              </w:rPr>
              <w:t>Izrada projekcija i definiranje budućih mjera – 1 milijun kuna (MZOE)</w:t>
            </w:r>
          </w:p>
          <w:p w:rsidR="002D5E59" w:rsidRPr="00D60728" w:rsidRDefault="002D5E59" w:rsidP="00BF7DCC">
            <w:pPr>
              <w:pStyle w:val="ListParagraph"/>
              <w:numPr>
                <w:ilvl w:val="0"/>
                <w:numId w:val="24"/>
              </w:numPr>
              <w:spacing w:line="240" w:lineRule="auto"/>
              <w:contextualSpacing w:val="0"/>
              <w:rPr>
                <w:rFonts w:ascii="Times New Roman" w:hAnsi="Times New Roman"/>
                <w:i/>
                <w:iCs/>
                <w:sz w:val="20"/>
                <w:szCs w:val="20"/>
              </w:rPr>
            </w:pPr>
            <w:r w:rsidRPr="00D60728">
              <w:rPr>
                <w:rFonts w:ascii="Times New Roman" w:hAnsi="Times New Roman"/>
                <w:i/>
                <w:iCs/>
                <w:sz w:val="20"/>
                <w:szCs w:val="20"/>
              </w:rPr>
              <w:t xml:space="preserve">Izrada Strategije upravljanja zemljištem – 10 milijuna kuna (MZOE, MP, MGPU, MRRFEU)  </w:t>
            </w:r>
          </w:p>
        </w:tc>
      </w:tr>
      <w:tr w:rsidR="002D5E59" w:rsidRPr="00D60728" w:rsidTr="00BA77D2">
        <w:trPr>
          <w:trHeight w:val="1382"/>
        </w:trPr>
        <w:tc>
          <w:tcPr>
            <w:tcW w:w="1882"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00" w:type="dxa"/>
            <w:vMerge w:val="restart"/>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5265"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emisija stakleničkih plinova (Mt CO</w:t>
            </w:r>
            <w:r w:rsidRPr="00D60728">
              <w:rPr>
                <w:rFonts w:ascii="Times New Roman" w:hAnsi="Times New Roman"/>
                <w:i/>
                <w:iCs/>
                <w:sz w:val="20"/>
                <w:szCs w:val="20"/>
                <w:vertAlign w:val="subscript"/>
              </w:rPr>
              <w:t>2eq</w:t>
            </w:r>
            <w:r w:rsidRPr="00D60728">
              <w:rPr>
                <w:rFonts w:ascii="Times New Roman" w:hAnsi="Times New Roman"/>
                <w:i/>
                <w:iCs/>
                <w:sz w:val="20"/>
                <w:szCs w:val="20"/>
              </w:rPr>
              <w:t xml:space="preserve">) </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Povećanje odliva ugljikova dioskida (Mt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r>
      <w:tr w:rsidR="002D5E59" w:rsidRPr="00D60728" w:rsidTr="00BA77D2">
        <w:trPr>
          <w:trHeight w:val="454"/>
        </w:trPr>
        <w:tc>
          <w:tcPr>
            <w:tcW w:w="1882" w:type="dxa"/>
            <w:vMerge/>
            <w:vAlign w:val="center"/>
          </w:tcPr>
          <w:p w:rsidR="002D5E59" w:rsidRPr="00D60728" w:rsidRDefault="002D5E59" w:rsidP="00BF7DCC">
            <w:pPr>
              <w:spacing w:line="240" w:lineRule="auto"/>
              <w:rPr>
                <w:rFonts w:ascii="Times New Roman" w:hAnsi="Times New Roman"/>
                <w:sz w:val="20"/>
                <w:szCs w:val="20"/>
              </w:rPr>
            </w:pPr>
          </w:p>
        </w:tc>
        <w:tc>
          <w:tcPr>
            <w:tcW w:w="1800" w:type="dxa"/>
            <w:vMerge/>
            <w:vAlign w:val="center"/>
          </w:tcPr>
          <w:p w:rsidR="002D5E59" w:rsidRPr="00D60728" w:rsidRDefault="002D5E59" w:rsidP="00BF7DCC">
            <w:pPr>
              <w:spacing w:line="240" w:lineRule="auto"/>
              <w:rPr>
                <w:rFonts w:ascii="Times New Roman" w:hAnsi="Times New Roman"/>
                <w:sz w:val="20"/>
                <w:szCs w:val="20"/>
              </w:rPr>
            </w:pPr>
          </w:p>
        </w:tc>
        <w:tc>
          <w:tcPr>
            <w:tcW w:w="5265"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Ostali očekivani učinci mjere: </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sz w:val="20"/>
                <w:szCs w:val="20"/>
              </w:rPr>
              <w:t>definirati buduće aktivnosti za smanjenje emisija/povećanje odliva za svaku od kategorija zemljišta i pripadajuća pohraništa, te definirati rokove za provedbu, provesti odabrane aktivnosti/mjere definirane u Strategiji upravljanja zemljištem, uvođenje novih praksi gospodarenja u šumama temeljenih na provedbi znanstvenih radova kojima se dokazuje pozitivan učinak novih praksi gospodarenja na ciklus kruženja ugljika u pohraništima u šumama, te posljedično na emisije i odlive u kategoriji Šumskog zemljišta, na nacionalnoj razini unaprijediti i harmonizirati propise iz sektora šumarstva, poljoprivrede i zaštite okoliša radi postizanja ciljeva definiranih EU politikom u dijelu klimatskih promjena</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265" w:type="dxa"/>
            <w:vAlign w:val="center"/>
          </w:tcPr>
          <w:p w:rsidR="002D5E59" w:rsidRPr="00D60728" w:rsidRDefault="002D5E59" w:rsidP="00BF7DCC">
            <w:pPr>
              <w:pStyle w:val="ListParagraph"/>
              <w:spacing w:line="240" w:lineRule="auto"/>
              <w:ind w:left="0"/>
              <w:rPr>
                <w:rFonts w:ascii="Times New Roman" w:hAnsi="Times New Roman"/>
                <w:i/>
                <w:sz w:val="20"/>
                <w:szCs w:val="20"/>
              </w:rPr>
            </w:pPr>
            <w:r w:rsidRPr="00D60728">
              <w:rPr>
                <w:rFonts w:ascii="Times New Roman" w:hAnsi="Times New Roman"/>
                <w:i/>
                <w:iCs/>
                <w:sz w:val="20"/>
                <w:szCs w:val="20"/>
              </w:rPr>
              <w:t xml:space="preserve">Provoditi analize učinkovitosti provedenih mjera i aktivnosti </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265"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inventaru emisija stakleničkih plinova na području RH (NIR), Izvješće o provedbi politika i mjera za smanjenje emisija stakleničkih plinova, Petogodišnje izvješće o praćenju provedbe NUS, Izvješće o praćenju provedbe Strategije upravljanja zemljištem.</w:t>
            </w:r>
          </w:p>
        </w:tc>
      </w:tr>
      <w:tr w:rsidR="002D5E59" w:rsidRPr="00D60728" w:rsidTr="00BA77D2">
        <w:trPr>
          <w:trHeight w:val="454"/>
        </w:trPr>
        <w:tc>
          <w:tcPr>
            <w:tcW w:w="3682" w:type="dxa"/>
            <w:gridSpan w:val="2"/>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265" w:type="dxa"/>
            <w:vAlign w:val="center"/>
          </w:tcPr>
          <w:p w:rsidR="002D5E59" w:rsidRPr="00D60728" w:rsidRDefault="002D5E59" w:rsidP="00BF7DCC">
            <w:pPr>
              <w:spacing w:line="240" w:lineRule="auto"/>
              <w:rPr>
                <w:rFonts w:ascii="Times New Roman" w:hAnsi="Times New Roman"/>
                <w:i/>
                <w:iCs/>
                <w:color w:val="A6A6A6" w:themeColor="background1" w:themeShade="A6"/>
                <w:sz w:val="20"/>
                <w:szCs w:val="20"/>
              </w:rPr>
            </w:pPr>
            <w:r w:rsidRPr="00D60728">
              <w:rPr>
                <w:rFonts w:ascii="Times New Roman" w:hAnsi="Times New Roman"/>
                <w:i/>
                <w:iCs/>
                <w:sz w:val="20"/>
                <w:szCs w:val="20"/>
              </w:rPr>
              <w:t>-</w:t>
            </w:r>
          </w:p>
        </w:tc>
      </w:tr>
    </w:tbl>
    <w:p w:rsidR="002D5E59" w:rsidRPr="00D60728" w:rsidRDefault="002D5E59" w:rsidP="00BF7DCC">
      <w:pPr>
        <w:pStyle w:val="Tablica"/>
        <w:spacing w:after="0" w:line="240" w:lineRule="auto"/>
        <w:rPr>
          <w:rFonts w:ascii="Times New Roman" w:hAnsi="Times New Roman"/>
          <w:sz w:val="20"/>
        </w:rPr>
      </w:pPr>
    </w:p>
    <w:p w:rsidR="002D5E59" w:rsidRPr="00D60728" w:rsidRDefault="002D5E59" w:rsidP="00BF7DCC">
      <w:pPr>
        <w:pStyle w:val="Tablica"/>
        <w:spacing w:after="0" w:line="240" w:lineRule="auto"/>
        <w:rPr>
          <w:rFonts w:ascii="Times New Roman" w:hAnsi="Times New Roman"/>
          <w:sz w:val="20"/>
        </w:rPr>
      </w:pPr>
    </w:p>
    <w:p w:rsidR="002D5E59" w:rsidRPr="00D60728" w:rsidRDefault="002D5E59" w:rsidP="00BF7DCC">
      <w:pPr>
        <w:spacing w:line="240" w:lineRule="auto"/>
        <w:rPr>
          <w:sz w:val="20"/>
          <w:szCs w:val="20"/>
        </w:rPr>
      </w:pPr>
      <w:r w:rsidRPr="00D60728">
        <w:rPr>
          <w:sz w:val="20"/>
          <w:szCs w:val="20"/>
        </w:rPr>
        <w:br w:type="page"/>
      </w:r>
    </w:p>
    <w:tbl>
      <w:tblPr>
        <w:tblStyle w:val="TableGrid"/>
        <w:tblW w:w="0" w:type="auto"/>
        <w:tblLook w:val="04A0" w:firstRow="1" w:lastRow="0" w:firstColumn="1" w:lastColumn="0" w:noHBand="0" w:noVBand="1"/>
      </w:tblPr>
      <w:tblGrid>
        <w:gridCol w:w="1882"/>
        <w:gridCol w:w="1800"/>
        <w:gridCol w:w="2668"/>
        <w:gridCol w:w="2597"/>
      </w:tblGrid>
      <w:tr w:rsidR="002D5E59" w:rsidRPr="006D54B7" w:rsidTr="00BA77D2">
        <w:trPr>
          <w:trHeight w:val="454"/>
        </w:trPr>
        <w:tc>
          <w:tcPr>
            <w:tcW w:w="3682" w:type="dxa"/>
            <w:gridSpan w:val="2"/>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Cs/>
              </w:rPr>
            </w:pPr>
            <w:r w:rsidRPr="006D54B7">
              <w:rPr>
                <w:rFonts w:ascii="Times New Roman" w:hAnsi="Times New Roman"/>
                <w:b/>
                <w:iCs/>
              </w:rPr>
              <w:lastRenderedPageBreak/>
              <w:t>Naziv mjere</w:t>
            </w:r>
          </w:p>
        </w:tc>
        <w:tc>
          <w:tcPr>
            <w:tcW w:w="5265" w:type="dxa"/>
            <w:gridSpan w:val="2"/>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
                <w:iCs/>
              </w:rPr>
            </w:pPr>
            <w:r w:rsidRPr="006D54B7">
              <w:rPr>
                <w:rFonts w:ascii="Times New Roman" w:hAnsi="Times New Roman"/>
                <w:b/>
                <w:i/>
                <w:iCs/>
              </w:rPr>
              <w:t xml:space="preserve">Akumulacija ugljika na površinama postojećih šuma </w:t>
            </w:r>
          </w:p>
        </w:tc>
      </w:tr>
      <w:tr w:rsidR="002D5E59" w:rsidRPr="00D60728" w:rsidTr="00BA77D2">
        <w:trPr>
          <w:trHeight w:val="454"/>
        </w:trPr>
        <w:tc>
          <w:tcPr>
            <w:tcW w:w="3682" w:type="dxa"/>
            <w:gridSpan w:val="2"/>
            <w:vAlign w:val="center"/>
            <w:hideMark/>
          </w:tcPr>
          <w:p w:rsidR="002D5E59" w:rsidRPr="00D60728" w:rsidRDefault="002D5E59"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265"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Obuhvaća: MLF-2 i MLF-7</w:t>
            </w:r>
          </w:p>
        </w:tc>
      </w:tr>
      <w:tr w:rsidR="002D5E59" w:rsidRPr="00D60728" w:rsidTr="00BA77D2">
        <w:trPr>
          <w:trHeight w:val="454"/>
        </w:trPr>
        <w:tc>
          <w:tcPr>
            <w:tcW w:w="1882"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265"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Vrsta mjere: ekonomska</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265"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Merge/>
            <w:vAlign w:val="center"/>
            <w:hideMark/>
          </w:tcPr>
          <w:p w:rsidR="002D5E59" w:rsidRPr="00D60728" w:rsidRDefault="002D5E59" w:rsidP="00BF7DCC">
            <w:pPr>
              <w:spacing w:line="240" w:lineRule="auto"/>
              <w:rPr>
                <w:rFonts w:ascii="Times New Roman" w:hAnsi="Times New Roman"/>
                <w:sz w:val="20"/>
                <w:szCs w:val="20"/>
              </w:rPr>
            </w:pPr>
          </w:p>
        </w:tc>
        <w:tc>
          <w:tcPr>
            <w:tcW w:w="5265"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Kraj: 2030</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265" w:type="dxa"/>
            <w:gridSpan w:val="2"/>
            <w:vAlign w:val="center"/>
          </w:tcPr>
          <w:p w:rsidR="002D5E59" w:rsidRPr="00D60728" w:rsidRDefault="002D5E59" w:rsidP="00BF7DCC">
            <w:pPr>
              <w:pStyle w:val="ListParagraph"/>
              <w:numPr>
                <w:ilvl w:val="0"/>
                <w:numId w:val="26"/>
              </w:numPr>
              <w:spacing w:line="240" w:lineRule="auto"/>
              <w:ind w:left="234" w:hanging="283"/>
              <w:contextualSpacing w:val="0"/>
              <w:rPr>
                <w:rFonts w:ascii="Times New Roman" w:hAnsi="Times New Roman"/>
                <w:i/>
                <w:iCs/>
                <w:sz w:val="20"/>
                <w:szCs w:val="20"/>
              </w:rPr>
            </w:pPr>
            <w:r w:rsidRPr="00D60728">
              <w:rPr>
                <w:rFonts w:ascii="Times New Roman" w:hAnsi="Times New Roman"/>
                <w:i/>
                <w:iCs/>
                <w:sz w:val="20"/>
                <w:szCs w:val="20"/>
              </w:rPr>
              <w:t xml:space="preserve">Razmotriti  mogućnost za provedbu aktivnosti gospodarenja šumama na način da ista doprinosi povećanju odliva ugljikova dioksida </w:t>
            </w:r>
          </w:p>
          <w:p w:rsidR="002D5E59" w:rsidRPr="00D60728" w:rsidRDefault="002D5E59" w:rsidP="00BF7DCC">
            <w:pPr>
              <w:pStyle w:val="ListParagraph"/>
              <w:numPr>
                <w:ilvl w:val="0"/>
                <w:numId w:val="26"/>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Osiguranje održanja definirane, referentne razine za šume (FRL) u Prvom i drugom obvezujućem razdoblju po Uredbi 841/2018/EU (razdoblje od 2021. do 2030. godine)</w:t>
            </w:r>
          </w:p>
          <w:p w:rsidR="002D5E59" w:rsidRPr="00D60728" w:rsidRDefault="002D5E59" w:rsidP="00BF7DCC">
            <w:pPr>
              <w:spacing w:line="240" w:lineRule="auto"/>
              <w:rPr>
                <w:rFonts w:ascii="Times New Roman" w:hAnsi="Times New Roman"/>
                <w:i/>
                <w:iCs/>
                <w:sz w:val="20"/>
                <w:szCs w:val="20"/>
              </w:rPr>
            </w:pPr>
          </w:p>
        </w:tc>
      </w:tr>
      <w:tr w:rsidR="002D5E59" w:rsidRPr="00D60728" w:rsidTr="00BA77D2">
        <w:trPr>
          <w:trHeight w:val="454"/>
        </w:trPr>
        <w:tc>
          <w:tcPr>
            <w:tcW w:w="1882" w:type="dxa"/>
            <w:vMerge/>
            <w:vAlign w:val="center"/>
          </w:tcPr>
          <w:p w:rsidR="002D5E59" w:rsidRPr="00D60728" w:rsidRDefault="002D5E59" w:rsidP="00BF7DCC">
            <w:pPr>
              <w:spacing w:line="240" w:lineRule="auto"/>
              <w:rPr>
                <w:rFonts w:ascii="Times New Roman" w:hAnsi="Times New Roman"/>
                <w:sz w:val="20"/>
                <w:szCs w:val="20"/>
              </w:rPr>
            </w:pPr>
          </w:p>
        </w:tc>
        <w:tc>
          <w:tcPr>
            <w:tcW w:w="1800"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265"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Zadatak ove mjere je doprinijeti zadržavanju/povećanju odliva u sektoru šumarstva i tako ispuniti odredbe Odluke 529/2013/EU i Uredbe 841/2018/EU. </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265" w:type="dxa"/>
            <w:gridSpan w:val="2"/>
            <w:vAlign w:val="center"/>
            <w:hideMark/>
          </w:tcPr>
          <w:p w:rsidR="002D5E59" w:rsidRPr="00D60728" w:rsidRDefault="002D5E59"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 xml:space="preserve">Ministarstvo zaštite okoliša i prirode, Ministarstvo poljoprivrede, Hrvatske šume d.o.o. </w:t>
            </w:r>
          </w:p>
        </w:tc>
      </w:tr>
      <w:tr w:rsidR="002D5E59" w:rsidRPr="00D60728" w:rsidTr="00BA77D2">
        <w:trPr>
          <w:trHeight w:val="454"/>
        </w:trPr>
        <w:tc>
          <w:tcPr>
            <w:tcW w:w="1882"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265" w:type="dxa"/>
            <w:gridSpan w:val="2"/>
            <w:vAlign w:val="center"/>
          </w:tcPr>
          <w:p w:rsidR="002D5E59" w:rsidRPr="00D60728" w:rsidRDefault="002D5E59" w:rsidP="00BF7DCC">
            <w:pPr>
              <w:spacing w:line="240" w:lineRule="auto"/>
              <w:rPr>
                <w:rFonts w:ascii="Times New Roman" w:hAnsi="Times New Roman"/>
                <w:i/>
                <w:sz w:val="20"/>
                <w:szCs w:val="20"/>
              </w:rPr>
            </w:pPr>
            <w:r w:rsidRPr="00D60728">
              <w:rPr>
                <w:rFonts w:ascii="Times New Roman" w:hAnsi="Times New Roman"/>
                <w:i/>
                <w:sz w:val="20"/>
                <w:szCs w:val="20"/>
              </w:rPr>
              <w:t>Provedba aktivnosti kojima se doprinosi povećanju sadržaja zalihe ugljika u šumama posebice u pohraništu biomase i provedbom kojih se osiguravaju uklanjanja u pojedinom razdoblju većima od onih definiranih referentnom razinom za šume (FRL). Ove aktivnosti su npr. obnova šuma, prevođenje sastojina u viši uzgojni oblik, odabir vrsta za popunjavanje i dr. Održavanjem odliva većeg od onoga definiranog po FRL-u osigurava se i povećanje emisijskih jedinica koje je moguće prenijeti u sektore izvan ETS-a. Provedba stručnih i znanstvenih projekata.</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265"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Ministarstvo zaštite okoliša i energetike </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265"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Ministarstvo poljoprivrede </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Hrvatske šume d.o.o. </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265"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Ministarstvo poljoprivrede i Agencija za plaćanja u poljoprivredi, ribarstvu i ruralnom razvoju kroz Program ruralnog razvoja. </w:t>
            </w:r>
          </w:p>
        </w:tc>
      </w:tr>
      <w:tr w:rsidR="002D5E59" w:rsidRPr="00D60728" w:rsidTr="00BA77D2">
        <w:trPr>
          <w:trHeight w:val="1382"/>
        </w:trPr>
        <w:tc>
          <w:tcPr>
            <w:tcW w:w="1882"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00" w:type="dxa"/>
            <w:vMerge w:val="restart"/>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668"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597"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U izrađenoj studiji „Ispunjavanje obveza definiranih člankom 10. Odluke br. 529/2013/EU Europskog parlamenta i Vijeća od 21. svibnja 2013. o pravilima za obračun emisija i uklanjanja stakleničkih plinova koji nastaju iz djelatnosti vezanih uz korištenje zemljišta, prenamjenu zemljišta i šumarstvo te informacijama o mjerama u vezi tih djelatnosti“ za ovu mjeru je ocjenjeno kako ima srednji mitigacijski potencijal (1-10 tCO</w:t>
            </w:r>
            <w:r w:rsidRPr="00D60728">
              <w:rPr>
                <w:rFonts w:ascii="Times New Roman" w:hAnsi="Times New Roman"/>
                <w:i/>
                <w:iCs/>
                <w:sz w:val="20"/>
                <w:szCs w:val="20"/>
                <w:vertAlign w:val="subscript"/>
              </w:rPr>
              <w:t>2eq</w:t>
            </w:r>
            <w:r w:rsidRPr="00D60728">
              <w:rPr>
                <w:rFonts w:ascii="Times New Roman" w:hAnsi="Times New Roman"/>
                <w:i/>
                <w:iCs/>
                <w:sz w:val="20"/>
                <w:szCs w:val="20"/>
              </w:rPr>
              <w:t xml:space="preserve">/ha godišnje). </w:t>
            </w:r>
          </w:p>
        </w:tc>
      </w:tr>
      <w:tr w:rsidR="002D5E59" w:rsidRPr="00D60728" w:rsidTr="00BA77D2">
        <w:trPr>
          <w:trHeight w:val="454"/>
        </w:trPr>
        <w:tc>
          <w:tcPr>
            <w:tcW w:w="1882" w:type="dxa"/>
            <w:vMerge/>
            <w:vAlign w:val="center"/>
          </w:tcPr>
          <w:p w:rsidR="002D5E59" w:rsidRPr="00D60728" w:rsidRDefault="002D5E59" w:rsidP="00BF7DCC">
            <w:pPr>
              <w:spacing w:line="240" w:lineRule="auto"/>
              <w:rPr>
                <w:rFonts w:ascii="Times New Roman" w:hAnsi="Times New Roman"/>
                <w:sz w:val="20"/>
                <w:szCs w:val="20"/>
              </w:rPr>
            </w:pPr>
          </w:p>
        </w:tc>
        <w:tc>
          <w:tcPr>
            <w:tcW w:w="1800" w:type="dxa"/>
            <w:vMerge/>
            <w:vAlign w:val="center"/>
          </w:tcPr>
          <w:p w:rsidR="002D5E59" w:rsidRPr="00D60728" w:rsidRDefault="002D5E59" w:rsidP="00BF7DCC">
            <w:pPr>
              <w:spacing w:line="240" w:lineRule="auto"/>
              <w:rPr>
                <w:rFonts w:ascii="Times New Roman" w:hAnsi="Times New Roman"/>
                <w:sz w:val="20"/>
                <w:szCs w:val="20"/>
              </w:rPr>
            </w:pPr>
          </w:p>
        </w:tc>
        <w:tc>
          <w:tcPr>
            <w:tcW w:w="5265"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Ostali očekivani učinci mjere: </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Izrada novih smjernica za daljnje gospodarenje u šumarskom i poljoprivrednom sektoru uz primjenu mjera za ublaženje i prilagodbu na klimatske promjene. Potrebno je promovirati gospodarenje kategorijama zemljišta koje su korisne za klimu i okoliš, te izraditi smjernice daljnjeg razvoja temeljem znanja i iskustava stečenih provedbom ove mjere. Provedba stručnih i znanstvenih projekata u cilju potrebe prelaska na višu razinu IPCC metodologije (Tier 3).</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265" w:type="dxa"/>
            <w:gridSpan w:val="2"/>
            <w:vAlign w:val="center"/>
          </w:tcPr>
          <w:p w:rsidR="002D5E59" w:rsidRPr="00D60728" w:rsidRDefault="002D5E59" w:rsidP="00BF7DCC">
            <w:pPr>
              <w:pStyle w:val="ListParagraph"/>
              <w:numPr>
                <w:ilvl w:val="0"/>
                <w:numId w:val="27"/>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 xml:space="preserve">Ocjena implementacije Plana zaštite zraka, klimatskih promjena i ozonskog sloja u RH </w:t>
            </w:r>
          </w:p>
          <w:p w:rsidR="002D5E59" w:rsidRPr="00D60728" w:rsidRDefault="002D5E59" w:rsidP="00BF7DCC">
            <w:pPr>
              <w:pStyle w:val="ListParagraph"/>
              <w:numPr>
                <w:ilvl w:val="0"/>
                <w:numId w:val="27"/>
              </w:numPr>
              <w:spacing w:line="240" w:lineRule="auto"/>
              <w:ind w:left="234" w:hanging="234"/>
              <w:contextualSpacing w:val="0"/>
              <w:rPr>
                <w:rFonts w:ascii="Times New Roman" w:hAnsi="Times New Roman"/>
                <w:i/>
                <w:sz w:val="20"/>
                <w:szCs w:val="20"/>
              </w:rPr>
            </w:pPr>
            <w:r w:rsidRPr="00D60728">
              <w:rPr>
                <w:rFonts w:ascii="Times New Roman" w:hAnsi="Times New Roman"/>
                <w:i/>
                <w:sz w:val="20"/>
                <w:szCs w:val="20"/>
              </w:rPr>
              <w:t xml:space="preserve">Praćenje površina i stanja šuma i šumskih zemljišta  </w:t>
            </w:r>
          </w:p>
          <w:p w:rsidR="002D5E59" w:rsidRPr="00D60728" w:rsidRDefault="002D5E59" w:rsidP="00BF7DCC">
            <w:pPr>
              <w:pStyle w:val="ListParagraph"/>
              <w:numPr>
                <w:ilvl w:val="0"/>
                <w:numId w:val="27"/>
              </w:numPr>
              <w:spacing w:line="240" w:lineRule="auto"/>
              <w:ind w:left="234" w:hanging="234"/>
              <w:contextualSpacing w:val="0"/>
              <w:rPr>
                <w:rFonts w:ascii="Times New Roman" w:hAnsi="Times New Roman"/>
                <w:i/>
                <w:sz w:val="20"/>
                <w:szCs w:val="20"/>
              </w:rPr>
            </w:pPr>
            <w:r w:rsidRPr="00D60728">
              <w:rPr>
                <w:rFonts w:ascii="Times New Roman" w:hAnsi="Times New Roman"/>
                <w:i/>
                <w:sz w:val="20"/>
                <w:szCs w:val="20"/>
              </w:rPr>
              <w:t>Praćenje statističkih podataka o šumarstvu</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265"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inventaru emisija stakleničkih plinova na području RH (NIR); Izvješće o provedbi politika i mjera za smanjenje emisija stakleničkih plinova; Petogodišnje izvješće o praćenju provedbe NUS; Izvješće o provedbi odredbi Odluke 529/2013/EU; Izvješće o provedbi Plana ruralnog razvoja RH; Provedba Uredbe 841/2018/EU</w:t>
            </w:r>
          </w:p>
        </w:tc>
      </w:tr>
      <w:tr w:rsidR="002D5E59" w:rsidRPr="00D60728" w:rsidTr="00BA77D2">
        <w:trPr>
          <w:trHeight w:val="454"/>
        </w:trPr>
        <w:tc>
          <w:tcPr>
            <w:tcW w:w="3682" w:type="dxa"/>
            <w:gridSpan w:val="2"/>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265" w:type="dxa"/>
            <w:gridSpan w:val="2"/>
            <w:vAlign w:val="center"/>
          </w:tcPr>
          <w:p w:rsidR="002D5E59" w:rsidRPr="00D60728" w:rsidRDefault="002D5E59" w:rsidP="00BF7DCC">
            <w:pPr>
              <w:spacing w:line="240" w:lineRule="auto"/>
              <w:rPr>
                <w:rFonts w:ascii="Times New Roman" w:hAnsi="Times New Roman"/>
                <w:i/>
                <w:iCs/>
                <w:color w:val="A6A6A6" w:themeColor="background1" w:themeShade="A6"/>
                <w:sz w:val="20"/>
                <w:szCs w:val="20"/>
              </w:rPr>
            </w:pPr>
            <w:r w:rsidRPr="00D60728">
              <w:rPr>
                <w:rFonts w:ascii="Times New Roman" w:hAnsi="Times New Roman"/>
                <w:i/>
                <w:iCs/>
                <w:sz w:val="20"/>
                <w:szCs w:val="20"/>
              </w:rPr>
              <w:t>-</w:t>
            </w:r>
          </w:p>
        </w:tc>
      </w:tr>
    </w:tbl>
    <w:p w:rsidR="002D5E59" w:rsidRPr="00D60728" w:rsidRDefault="002D5E59" w:rsidP="00BF7DCC">
      <w:pPr>
        <w:pStyle w:val="Tablica"/>
        <w:spacing w:after="0" w:line="240" w:lineRule="auto"/>
        <w:jc w:val="both"/>
        <w:rPr>
          <w:rFonts w:ascii="Times New Roman" w:hAnsi="Times New Roman"/>
          <w:sz w:val="20"/>
        </w:rPr>
      </w:pPr>
    </w:p>
    <w:p w:rsidR="002D5E59" w:rsidRPr="00D60728" w:rsidRDefault="002D5E59" w:rsidP="00BF7DCC">
      <w:pPr>
        <w:spacing w:line="240" w:lineRule="auto"/>
        <w:rPr>
          <w:sz w:val="20"/>
          <w:szCs w:val="20"/>
        </w:rPr>
      </w:pPr>
    </w:p>
    <w:tbl>
      <w:tblPr>
        <w:tblStyle w:val="TableGrid"/>
        <w:tblW w:w="0" w:type="auto"/>
        <w:tblLook w:val="04A0" w:firstRow="1" w:lastRow="0" w:firstColumn="1" w:lastColumn="0" w:noHBand="0" w:noVBand="1"/>
      </w:tblPr>
      <w:tblGrid>
        <w:gridCol w:w="1882"/>
        <w:gridCol w:w="1800"/>
        <w:gridCol w:w="2667"/>
        <w:gridCol w:w="2598"/>
      </w:tblGrid>
      <w:tr w:rsidR="002D5E59" w:rsidRPr="006D54B7" w:rsidTr="00BA77D2">
        <w:trPr>
          <w:trHeight w:val="454"/>
        </w:trPr>
        <w:tc>
          <w:tcPr>
            <w:tcW w:w="3682" w:type="dxa"/>
            <w:gridSpan w:val="2"/>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Cs/>
              </w:rPr>
            </w:pPr>
            <w:r w:rsidRPr="006D54B7">
              <w:rPr>
                <w:rFonts w:ascii="Times New Roman" w:hAnsi="Times New Roman"/>
                <w:b/>
                <w:iCs/>
              </w:rPr>
              <w:t>Naziv mjere</w:t>
            </w:r>
          </w:p>
        </w:tc>
        <w:tc>
          <w:tcPr>
            <w:tcW w:w="5265" w:type="dxa"/>
            <w:gridSpan w:val="2"/>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
                <w:iCs/>
              </w:rPr>
            </w:pPr>
            <w:r w:rsidRPr="006D54B7">
              <w:rPr>
                <w:rFonts w:ascii="Times New Roman" w:hAnsi="Times New Roman"/>
                <w:b/>
                <w:i/>
                <w:iCs/>
              </w:rPr>
              <w:t>Provedba radova pošumljavanja</w:t>
            </w:r>
          </w:p>
        </w:tc>
      </w:tr>
      <w:tr w:rsidR="002D5E59" w:rsidRPr="00D60728" w:rsidTr="00BA77D2">
        <w:trPr>
          <w:trHeight w:val="454"/>
        </w:trPr>
        <w:tc>
          <w:tcPr>
            <w:tcW w:w="3682" w:type="dxa"/>
            <w:gridSpan w:val="2"/>
            <w:vAlign w:val="center"/>
            <w:hideMark/>
          </w:tcPr>
          <w:p w:rsidR="002D5E59" w:rsidRPr="00D60728" w:rsidRDefault="002D5E59"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265"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Obuhvaća: MLF-3 i MLF-7</w:t>
            </w:r>
          </w:p>
        </w:tc>
      </w:tr>
      <w:tr w:rsidR="002D5E59" w:rsidRPr="00D60728" w:rsidTr="00BA77D2">
        <w:trPr>
          <w:trHeight w:val="454"/>
        </w:trPr>
        <w:tc>
          <w:tcPr>
            <w:tcW w:w="1882"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265"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Vrsta mjere: ekonomska</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265"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Merge/>
            <w:vAlign w:val="center"/>
            <w:hideMark/>
          </w:tcPr>
          <w:p w:rsidR="002D5E59" w:rsidRPr="00D60728" w:rsidRDefault="002D5E59" w:rsidP="00BF7DCC">
            <w:pPr>
              <w:spacing w:line="240" w:lineRule="auto"/>
              <w:rPr>
                <w:rFonts w:ascii="Times New Roman" w:hAnsi="Times New Roman"/>
                <w:sz w:val="20"/>
                <w:szCs w:val="20"/>
              </w:rPr>
            </w:pPr>
          </w:p>
        </w:tc>
        <w:tc>
          <w:tcPr>
            <w:tcW w:w="5265"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Kraj: 2030</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265" w:type="dxa"/>
            <w:gridSpan w:val="2"/>
            <w:vAlign w:val="center"/>
          </w:tcPr>
          <w:p w:rsidR="002D5E59" w:rsidRPr="00D60728" w:rsidRDefault="002D5E59" w:rsidP="00BF7DCC">
            <w:pPr>
              <w:pStyle w:val="ListParagraph"/>
              <w:numPr>
                <w:ilvl w:val="0"/>
                <w:numId w:val="43"/>
              </w:numPr>
              <w:spacing w:line="240" w:lineRule="auto"/>
              <w:ind w:left="212" w:hanging="212"/>
              <w:contextualSpacing w:val="0"/>
              <w:rPr>
                <w:rFonts w:ascii="Times New Roman" w:hAnsi="Times New Roman"/>
                <w:i/>
                <w:iCs/>
                <w:sz w:val="20"/>
                <w:szCs w:val="20"/>
              </w:rPr>
            </w:pPr>
            <w:r w:rsidRPr="00D60728">
              <w:rPr>
                <w:rFonts w:ascii="Times New Roman" w:hAnsi="Times New Roman"/>
                <w:i/>
                <w:iCs/>
                <w:sz w:val="20"/>
                <w:szCs w:val="20"/>
              </w:rPr>
              <w:t>Dodatno povećanje odliva ugljikova dioksida iz sektora šumarstva</w:t>
            </w:r>
          </w:p>
          <w:p w:rsidR="002D5E59" w:rsidRPr="00D60728" w:rsidRDefault="002D5E59" w:rsidP="00BF7DCC">
            <w:pPr>
              <w:pStyle w:val="ListParagraph"/>
              <w:numPr>
                <w:ilvl w:val="0"/>
                <w:numId w:val="43"/>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Povećanje biomase raspoložive u ukupnom udjelu obnovljivih izvora energije u RH</w:t>
            </w:r>
          </w:p>
          <w:p w:rsidR="002D5E59" w:rsidRPr="00D60728" w:rsidRDefault="002D5E59" w:rsidP="00BF7DCC">
            <w:pPr>
              <w:pStyle w:val="ListParagraph"/>
              <w:numPr>
                <w:ilvl w:val="0"/>
                <w:numId w:val="43"/>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Doprinos postizanju EU cilja o minimalno 32,5%</w:t>
            </w:r>
            <w:r w:rsidRPr="00D60728">
              <w:rPr>
                <w:rFonts w:ascii="Times New Roman" w:hAnsi="Times New Roman"/>
                <w:i/>
                <w:iCs/>
                <w:color w:val="FF0000"/>
                <w:sz w:val="20"/>
                <w:szCs w:val="20"/>
              </w:rPr>
              <w:t xml:space="preserve"> </w:t>
            </w:r>
            <w:r w:rsidRPr="00D60728">
              <w:rPr>
                <w:rFonts w:ascii="Times New Roman" w:hAnsi="Times New Roman"/>
                <w:i/>
                <w:iCs/>
                <w:sz w:val="20"/>
                <w:szCs w:val="20"/>
              </w:rPr>
              <w:t>udjela obnovljivih izvora energije u ukupnoj energetskoj potrošnji do 2030. godine</w:t>
            </w:r>
          </w:p>
        </w:tc>
      </w:tr>
      <w:tr w:rsidR="002D5E59" w:rsidRPr="00D60728" w:rsidTr="00BA77D2">
        <w:trPr>
          <w:trHeight w:val="454"/>
        </w:trPr>
        <w:tc>
          <w:tcPr>
            <w:tcW w:w="1882" w:type="dxa"/>
            <w:vMerge/>
            <w:vAlign w:val="center"/>
          </w:tcPr>
          <w:p w:rsidR="002D5E59" w:rsidRPr="00D60728" w:rsidRDefault="002D5E59" w:rsidP="00BF7DCC">
            <w:pPr>
              <w:spacing w:line="240" w:lineRule="auto"/>
              <w:rPr>
                <w:rFonts w:ascii="Times New Roman" w:hAnsi="Times New Roman"/>
                <w:sz w:val="20"/>
                <w:szCs w:val="20"/>
              </w:rPr>
            </w:pPr>
          </w:p>
        </w:tc>
        <w:tc>
          <w:tcPr>
            <w:tcW w:w="1800"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265" w:type="dxa"/>
            <w:gridSpan w:val="2"/>
            <w:vAlign w:val="center"/>
          </w:tcPr>
          <w:p w:rsidR="002D5E59" w:rsidRPr="00D60728" w:rsidRDefault="002D5E59" w:rsidP="00BF7DCC">
            <w:pPr>
              <w:spacing w:line="240" w:lineRule="auto"/>
              <w:rPr>
                <w:rFonts w:ascii="Times New Roman" w:hAnsi="Times New Roman"/>
                <w:i/>
                <w:sz w:val="20"/>
                <w:szCs w:val="20"/>
              </w:rPr>
            </w:pPr>
            <w:r w:rsidRPr="00D60728">
              <w:rPr>
                <w:rFonts w:ascii="Times New Roman" w:hAnsi="Times New Roman"/>
                <w:i/>
                <w:iCs/>
                <w:sz w:val="20"/>
                <w:szCs w:val="20"/>
              </w:rPr>
              <w:t xml:space="preserve">Pošumljavanje na površinama koje nisu šumske (u smislu IPCC metodologije), predstavlja aktivnost koja generira odlive. Republika Hrvatska zbog propisa iz područja zaštite prirode kojima se regulira uspostava Natura 2000 područja nije u mogućnosti raspolagati svim površinama travnjaka (prema nacionalnom propisu: neobraslog proizvodnog šumskog zemljišta) za potrebe pošumljavanja. S obzirom da u Republici Hrvatskoj postoje poljoprivredne površine na kojima se ne odvija proizvodnja i koje su dugi niz godina zapuštene, prilikom izrade Strategije upravljanja zemljištem problem ovih površina mora biti odgovarajuće adresiran. </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265" w:type="dxa"/>
            <w:gridSpan w:val="2"/>
            <w:vAlign w:val="center"/>
            <w:hideMark/>
          </w:tcPr>
          <w:p w:rsidR="002D5E59" w:rsidRPr="00D60728" w:rsidRDefault="002D5E59"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 xml:space="preserve">Ministarstvo zaštite okoliša i energetike, Ministarstvo poljoprivrede, Hrvatske šume d.o.o. </w:t>
            </w:r>
          </w:p>
        </w:tc>
      </w:tr>
      <w:tr w:rsidR="002D5E59" w:rsidRPr="00D60728" w:rsidTr="00BA77D2">
        <w:trPr>
          <w:trHeight w:val="1484"/>
        </w:trPr>
        <w:tc>
          <w:tcPr>
            <w:tcW w:w="1882"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lastRenderedPageBreak/>
              <w:t>Način provedbe</w:t>
            </w: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265" w:type="dxa"/>
            <w:gridSpan w:val="2"/>
            <w:vAlign w:val="center"/>
          </w:tcPr>
          <w:p w:rsidR="002D5E59" w:rsidRPr="00D60728" w:rsidRDefault="002D5E59" w:rsidP="00BF7DCC">
            <w:pPr>
              <w:pStyle w:val="ListParagraph"/>
              <w:numPr>
                <w:ilvl w:val="0"/>
                <w:numId w:val="44"/>
              </w:numPr>
              <w:spacing w:line="240" w:lineRule="auto"/>
              <w:ind w:left="212" w:hanging="212"/>
              <w:contextualSpacing w:val="0"/>
              <w:rPr>
                <w:rFonts w:ascii="Times New Roman" w:hAnsi="Times New Roman"/>
                <w:i/>
                <w:sz w:val="20"/>
                <w:szCs w:val="20"/>
              </w:rPr>
            </w:pPr>
            <w:r w:rsidRPr="00D60728">
              <w:rPr>
                <w:rFonts w:ascii="Times New Roman" w:hAnsi="Times New Roman"/>
                <w:i/>
                <w:sz w:val="20"/>
                <w:szCs w:val="20"/>
              </w:rPr>
              <w:t>Analiza troškova i koristi pošumljavanja</w:t>
            </w:r>
          </w:p>
          <w:p w:rsidR="002D5E59" w:rsidRPr="00D60728" w:rsidRDefault="002D5E59" w:rsidP="00BF7DCC">
            <w:pPr>
              <w:pStyle w:val="ListParagraph"/>
              <w:numPr>
                <w:ilvl w:val="0"/>
                <w:numId w:val="44"/>
              </w:numPr>
              <w:spacing w:line="240" w:lineRule="auto"/>
              <w:ind w:left="212" w:hanging="212"/>
              <w:contextualSpacing w:val="0"/>
              <w:rPr>
                <w:rFonts w:ascii="Times New Roman" w:hAnsi="Times New Roman"/>
                <w:i/>
                <w:sz w:val="20"/>
                <w:szCs w:val="20"/>
              </w:rPr>
            </w:pPr>
            <w:r w:rsidRPr="00D60728">
              <w:rPr>
                <w:rFonts w:ascii="Times New Roman" w:hAnsi="Times New Roman"/>
                <w:i/>
                <w:sz w:val="20"/>
                <w:szCs w:val="20"/>
              </w:rPr>
              <w:t xml:space="preserve">Ocjena opravdanosti prenamjene poljoprivrednih površina u šumske površine provedbom pošumljavanja. </w:t>
            </w:r>
          </w:p>
          <w:p w:rsidR="002D5E59" w:rsidRPr="00D60728" w:rsidRDefault="002D5E59" w:rsidP="00BF7DCC">
            <w:pPr>
              <w:pStyle w:val="ListParagraph"/>
              <w:numPr>
                <w:ilvl w:val="0"/>
                <w:numId w:val="44"/>
              </w:numPr>
              <w:spacing w:line="240" w:lineRule="auto"/>
              <w:ind w:left="234" w:hanging="234"/>
              <w:contextualSpacing w:val="0"/>
              <w:rPr>
                <w:rFonts w:ascii="Times New Roman" w:hAnsi="Times New Roman"/>
                <w:i/>
                <w:sz w:val="20"/>
                <w:szCs w:val="20"/>
              </w:rPr>
            </w:pPr>
            <w:r w:rsidRPr="00D60728">
              <w:rPr>
                <w:rFonts w:ascii="Times New Roman" w:hAnsi="Times New Roman"/>
                <w:i/>
                <w:sz w:val="20"/>
                <w:szCs w:val="20"/>
              </w:rPr>
              <w:t xml:space="preserve">Provedba pošumljavanja na novom, većem broju površina neobraslog proizvodnog šumskog zemljišta </w:t>
            </w:r>
          </w:p>
          <w:p w:rsidR="002D5E59" w:rsidRPr="00D60728" w:rsidRDefault="002D5E59" w:rsidP="00BF7DCC">
            <w:pPr>
              <w:pStyle w:val="ListParagraph"/>
              <w:numPr>
                <w:ilvl w:val="0"/>
                <w:numId w:val="44"/>
              </w:numPr>
              <w:spacing w:line="240" w:lineRule="auto"/>
              <w:ind w:left="212" w:hanging="212"/>
              <w:contextualSpacing w:val="0"/>
              <w:rPr>
                <w:rFonts w:ascii="Times New Roman" w:hAnsi="Times New Roman"/>
                <w:i/>
                <w:sz w:val="20"/>
                <w:szCs w:val="20"/>
              </w:rPr>
            </w:pPr>
            <w:r w:rsidRPr="00D60728">
              <w:rPr>
                <w:rFonts w:ascii="Times New Roman" w:hAnsi="Times New Roman"/>
                <w:i/>
                <w:sz w:val="20"/>
                <w:szCs w:val="20"/>
              </w:rPr>
              <w:t>Izraditi smjernice daljnjeg razvoja temeljem znanja i iskustava stečenih provedbom aktivnosti pošumljavanja.</w:t>
            </w:r>
          </w:p>
          <w:p w:rsidR="002D5E59" w:rsidRPr="00D60728" w:rsidRDefault="002D5E59" w:rsidP="00BF7DCC">
            <w:pPr>
              <w:pStyle w:val="ListParagraph"/>
              <w:numPr>
                <w:ilvl w:val="0"/>
                <w:numId w:val="44"/>
              </w:numPr>
              <w:spacing w:line="240" w:lineRule="auto"/>
              <w:ind w:left="212" w:hanging="212"/>
              <w:contextualSpacing w:val="0"/>
              <w:rPr>
                <w:rFonts w:ascii="Times New Roman" w:hAnsi="Times New Roman"/>
                <w:i/>
                <w:sz w:val="20"/>
                <w:szCs w:val="20"/>
              </w:rPr>
            </w:pPr>
            <w:r w:rsidRPr="00D60728">
              <w:rPr>
                <w:rFonts w:ascii="Times New Roman" w:hAnsi="Times New Roman"/>
                <w:i/>
                <w:sz w:val="20"/>
                <w:szCs w:val="20"/>
              </w:rPr>
              <w:t>Provedba stručnih i znanstvenih projekata</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265"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Ministarstvo zaštite okoliša i energetike </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265"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Ministarstvo poljoprivrede </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Hrvatske šume d.o.o. </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265" w:type="dxa"/>
            <w:gridSpan w:val="2"/>
            <w:vAlign w:val="center"/>
          </w:tcPr>
          <w:p w:rsidR="002D5E59" w:rsidRPr="00D60728" w:rsidRDefault="002D5E59" w:rsidP="00BF7DCC">
            <w:pPr>
              <w:pStyle w:val="ListParagraph"/>
              <w:numPr>
                <w:ilvl w:val="0"/>
                <w:numId w:val="45"/>
              </w:numPr>
              <w:spacing w:line="240" w:lineRule="auto"/>
              <w:ind w:left="212" w:hanging="212"/>
              <w:contextualSpacing w:val="0"/>
              <w:rPr>
                <w:rFonts w:ascii="Times New Roman" w:hAnsi="Times New Roman"/>
                <w:i/>
                <w:iCs/>
                <w:sz w:val="20"/>
                <w:szCs w:val="20"/>
              </w:rPr>
            </w:pPr>
            <w:r w:rsidRPr="00D60728">
              <w:rPr>
                <w:rFonts w:ascii="Times New Roman" w:hAnsi="Times New Roman"/>
                <w:i/>
                <w:iCs/>
                <w:sz w:val="20"/>
                <w:szCs w:val="20"/>
              </w:rPr>
              <w:t xml:space="preserve">Za provedbu analize i opravdanosti mjere potrebna su financijska sredstva u iznosu od 2 milijuna kuna; izvor financiranja – Fond za zaštitu okoliša i energetsku učinkovitost </w:t>
            </w:r>
          </w:p>
          <w:p w:rsidR="002D5E59" w:rsidRPr="00D60728" w:rsidRDefault="002D5E59" w:rsidP="00BF7DCC">
            <w:pPr>
              <w:pStyle w:val="ListParagraph"/>
              <w:numPr>
                <w:ilvl w:val="0"/>
                <w:numId w:val="45"/>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 xml:space="preserve">Za provedbu aktivnosti samoga pošumljavanja procijeniti potrebna sredstva temeljem rezultata analize </w:t>
            </w:r>
          </w:p>
        </w:tc>
      </w:tr>
      <w:tr w:rsidR="002D5E59" w:rsidRPr="00D60728" w:rsidTr="00BA77D2">
        <w:trPr>
          <w:trHeight w:val="1382"/>
        </w:trPr>
        <w:tc>
          <w:tcPr>
            <w:tcW w:w="1882"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00" w:type="dxa"/>
            <w:vMerge w:val="restart"/>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667"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598"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S obzirom da odlivi koji se ostvaruju aktivnošću pošumljavanja ovise o veličini površine na kojoj je pošumljavanje provedeno kao i o vrstama koje su odabrane za pošumljavanje, trenutno nije moguće kvantitativno prikazati povećanje odliva. za ovu mjeru je ocjenjeno kako ima srednji  potencijal </w:t>
            </w:r>
            <w:r w:rsidR="00DA5DF6">
              <w:rPr>
                <w:rFonts w:ascii="Times New Roman" w:hAnsi="Times New Roman"/>
                <w:i/>
                <w:iCs/>
                <w:sz w:val="20"/>
                <w:szCs w:val="20"/>
              </w:rPr>
              <w:t xml:space="preserve">smanjenja emisija </w:t>
            </w:r>
            <w:r w:rsidRPr="00D60728">
              <w:rPr>
                <w:rFonts w:ascii="Times New Roman" w:hAnsi="Times New Roman"/>
                <w:i/>
                <w:iCs/>
                <w:sz w:val="20"/>
                <w:szCs w:val="20"/>
              </w:rPr>
              <w:t>(1-10 tCO</w:t>
            </w:r>
            <w:r w:rsidRPr="00D60728">
              <w:rPr>
                <w:rFonts w:ascii="Times New Roman" w:hAnsi="Times New Roman"/>
                <w:i/>
                <w:iCs/>
                <w:sz w:val="20"/>
                <w:szCs w:val="20"/>
                <w:vertAlign w:val="subscript"/>
              </w:rPr>
              <w:t>2eq</w:t>
            </w:r>
            <w:r w:rsidRPr="00D60728">
              <w:rPr>
                <w:rFonts w:ascii="Times New Roman" w:hAnsi="Times New Roman"/>
                <w:i/>
                <w:iCs/>
                <w:sz w:val="20"/>
                <w:szCs w:val="20"/>
              </w:rPr>
              <w:t>/ha godišnje)..</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 </w:t>
            </w:r>
          </w:p>
        </w:tc>
      </w:tr>
      <w:tr w:rsidR="002D5E59" w:rsidRPr="00D60728" w:rsidTr="00BA77D2">
        <w:trPr>
          <w:trHeight w:val="454"/>
        </w:trPr>
        <w:tc>
          <w:tcPr>
            <w:tcW w:w="1882" w:type="dxa"/>
            <w:vMerge/>
            <w:vAlign w:val="center"/>
          </w:tcPr>
          <w:p w:rsidR="002D5E59" w:rsidRPr="00D60728" w:rsidRDefault="002D5E59" w:rsidP="00BF7DCC">
            <w:pPr>
              <w:spacing w:line="240" w:lineRule="auto"/>
              <w:rPr>
                <w:rFonts w:ascii="Times New Roman" w:hAnsi="Times New Roman"/>
                <w:sz w:val="20"/>
                <w:szCs w:val="20"/>
              </w:rPr>
            </w:pPr>
          </w:p>
        </w:tc>
        <w:tc>
          <w:tcPr>
            <w:tcW w:w="1800" w:type="dxa"/>
            <w:vMerge/>
            <w:vAlign w:val="center"/>
          </w:tcPr>
          <w:p w:rsidR="002D5E59" w:rsidRPr="00D60728" w:rsidRDefault="002D5E59" w:rsidP="00BF7DCC">
            <w:pPr>
              <w:spacing w:line="240" w:lineRule="auto"/>
              <w:rPr>
                <w:rFonts w:ascii="Times New Roman" w:hAnsi="Times New Roman"/>
                <w:sz w:val="20"/>
                <w:szCs w:val="20"/>
              </w:rPr>
            </w:pPr>
          </w:p>
        </w:tc>
        <w:tc>
          <w:tcPr>
            <w:tcW w:w="5265"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Ostali očekivani učinci mjere: </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sz w:val="20"/>
                <w:szCs w:val="20"/>
              </w:rPr>
              <w:t>Razvoj sjemenarstva i rasadničarske šumarske proizvodnje u RH; otvaranje novih radnih mjesta u RH; doprinos razvoju turističkog potencijala RH; doprinos poboljšanju kvalitete zraka i posljedično očuvanju zdravlja ljudi; Provedba stručnih i znanstvenih projekata u cilju potrebe prelaska na višu razinu IPCC metodologije (Tier 3).</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265" w:type="dxa"/>
            <w:gridSpan w:val="2"/>
            <w:vAlign w:val="center"/>
          </w:tcPr>
          <w:p w:rsidR="002D5E59" w:rsidRPr="00D60728" w:rsidRDefault="002D5E59" w:rsidP="00BF7DCC">
            <w:pPr>
              <w:pStyle w:val="ListParagraph"/>
              <w:numPr>
                <w:ilvl w:val="0"/>
                <w:numId w:val="25"/>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 xml:space="preserve">Ocjena implementacije Plana zaštite zraka, klimatskih promjena i ozonskog sloja u RH </w:t>
            </w:r>
          </w:p>
          <w:p w:rsidR="002D5E59" w:rsidRPr="00D60728" w:rsidRDefault="002D5E59" w:rsidP="00BF7DCC">
            <w:pPr>
              <w:pStyle w:val="ListParagraph"/>
              <w:numPr>
                <w:ilvl w:val="0"/>
                <w:numId w:val="25"/>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 xml:space="preserve">Definirane površine pogodne za provedbu aktivnosti pošumljavanja; </w:t>
            </w:r>
          </w:p>
          <w:p w:rsidR="002D5E59" w:rsidRPr="00D60728" w:rsidRDefault="002D5E59" w:rsidP="00BF7DCC">
            <w:pPr>
              <w:spacing w:line="240" w:lineRule="auto"/>
              <w:rPr>
                <w:rFonts w:ascii="Times New Roman" w:hAnsi="Times New Roman"/>
                <w:i/>
                <w:sz w:val="20"/>
                <w:szCs w:val="20"/>
              </w:rPr>
            </w:pP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265"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inventaru emisija stakleničkih plinova na području RH (NIR), Izvješće o provedbi politika i mjera za smanjenje emisija stakleničkih plinova, Petogodišnje izvješće o praćenju provedbe NUS</w:t>
            </w:r>
          </w:p>
        </w:tc>
      </w:tr>
      <w:tr w:rsidR="002D5E59" w:rsidRPr="00D60728" w:rsidTr="00BA77D2">
        <w:trPr>
          <w:trHeight w:val="454"/>
        </w:trPr>
        <w:tc>
          <w:tcPr>
            <w:tcW w:w="3682" w:type="dxa"/>
            <w:gridSpan w:val="2"/>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265" w:type="dxa"/>
            <w:gridSpan w:val="2"/>
            <w:vAlign w:val="center"/>
          </w:tcPr>
          <w:p w:rsidR="002D5E59" w:rsidRPr="00D60728" w:rsidRDefault="002D5E59" w:rsidP="00BF7DCC">
            <w:pPr>
              <w:spacing w:line="240" w:lineRule="auto"/>
              <w:rPr>
                <w:rFonts w:ascii="Times New Roman" w:hAnsi="Times New Roman"/>
                <w:i/>
                <w:iCs/>
                <w:color w:val="A6A6A6" w:themeColor="background1" w:themeShade="A6"/>
                <w:sz w:val="20"/>
                <w:szCs w:val="20"/>
              </w:rPr>
            </w:pPr>
            <w:r w:rsidRPr="00D60728">
              <w:rPr>
                <w:rFonts w:ascii="Times New Roman" w:hAnsi="Times New Roman"/>
                <w:i/>
                <w:iCs/>
                <w:sz w:val="20"/>
                <w:szCs w:val="20"/>
              </w:rPr>
              <w:t>-</w:t>
            </w:r>
          </w:p>
        </w:tc>
      </w:tr>
    </w:tbl>
    <w:p w:rsidR="002D5E59" w:rsidRPr="00D60728" w:rsidRDefault="002D5E59" w:rsidP="00BF7DCC">
      <w:pPr>
        <w:spacing w:line="240" w:lineRule="auto"/>
        <w:rPr>
          <w:sz w:val="20"/>
          <w:szCs w:val="20"/>
        </w:rPr>
      </w:pPr>
    </w:p>
    <w:p w:rsidR="002D5E59" w:rsidRPr="00D60728" w:rsidRDefault="002D5E59" w:rsidP="00BF7DCC">
      <w:pPr>
        <w:spacing w:line="240" w:lineRule="auto"/>
        <w:rPr>
          <w:sz w:val="20"/>
          <w:szCs w:val="20"/>
        </w:rPr>
      </w:pPr>
    </w:p>
    <w:p w:rsidR="002D5E59" w:rsidRPr="00D60728" w:rsidRDefault="002D5E59" w:rsidP="00BF7DCC">
      <w:pPr>
        <w:spacing w:line="240" w:lineRule="auto"/>
        <w:rPr>
          <w:sz w:val="20"/>
          <w:szCs w:val="20"/>
        </w:rPr>
      </w:pPr>
    </w:p>
    <w:p w:rsidR="002D5E59" w:rsidRPr="00D60728" w:rsidRDefault="002D5E59" w:rsidP="00BF7DCC">
      <w:pPr>
        <w:spacing w:line="240" w:lineRule="auto"/>
        <w:rPr>
          <w:sz w:val="20"/>
          <w:szCs w:val="20"/>
        </w:rPr>
      </w:pPr>
      <w:r w:rsidRPr="00D60728">
        <w:rPr>
          <w:sz w:val="20"/>
          <w:szCs w:val="20"/>
        </w:rPr>
        <w:br w:type="page"/>
      </w:r>
    </w:p>
    <w:tbl>
      <w:tblPr>
        <w:tblStyle w:val="TableGrid"/>
        <w:tblW w:w="0" w:type="auto"/>
        <w:tblLook w:val="04A0" w:firstRow="1" w:lastRow="0" w:firstColumn="1" w:lastColumn="0" w:noHBand="0" w:noVBand="1"/>
      </w:tblPr>
      <w:tblGrid>
        <w:gridCol w:w="1887"/>
        <w:gridCol w:w="1803"/>
        <w:gridCol w:w="5257"/>
      </w:tblGrid>
      <w:tr w:rsidR="002D5E59" w:rsidRPr="006D54B7" w:rsidTr="00BA77D2">
        <w:trPr>
          <w:trHeight w:val="454"/>
        </w:trPr>
        <w:tc>
          <w:tcPr>
            <w:tcW w:w="3690" w:type="dxa"/>
            <w:gridSpan w:val="2"/>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Cs/>
              </w:rPr>
            </w:pPr>
            <w:r w:rsidRPr="006D54B7">
              <w:rPr>
                <w:rFonts w:ascii="Times New Roman" w:hAnsi="Times New Roman"/>
                <w:b/>
                <w:iCs/>
              </w:rPr>
              <w:lastRenderedPageBreak/>
              <w:t>Naziv mjere</w:t>
            </w:r>
          </w:p>
        </w:tc>
        <w:tc>
          <w:tcPr>
            <w:tcW w:w="5257" w:type="dxa"/>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
                <w:iCs/>
              </w:rPr>
            </w:pPr>
            <w:r w:rsidRPr="006D54B7">
              <w:rPr>
                <w:rFonts w:ascii="Times New Roman" w:hAnsi="Times New Roman"/>
                <w:b/>
                <w:i/>
                <w:iCs/>
              </w:rPr>
              <w:t>Proizvodnja i uporaba drva i drvnih proizvoda</w:t>
            </w:r>
          </w:p>
        </w:tc>
      </w:tr>
      <w:tr w:rsidR="002D5E59" w:rsidRPr="00D60728" w:rsidTr="00BA77D2">
        <w:trPr>
          <w:trHeight w:val="454"/>
        </w:trPr>
        <w:tc>
          <w:tcPr>
            <w:tcW w:w="3690" w:type="dxa"/>
            <w:gridSpan w:val="2"/>
            <w:vAlign w:val="center"/>
            <w:hideMark/>
          </w:tcPr>
          <w:p w:rsidR="002D5E59" w:rsidRPr="00D60728" w:rsidRDefault="002D5E59"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257" w:type="dxa"/>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Obuhvaća: MLF-4 i MLF-7</w:t>
            </w:r>
          </w:p>
        </w:tc>
      </w:tr>
      <w:tr w:rsidR="002D5E59" w:rsidRPr="00D60728" w:rsidTr="00BA77D2">
        <w:trPr>
          <w:trHeight w:val="454"/>
        </w:trPr>
        <w:tc>
          <w:tcPr>
            <w:tcW w:w="1887"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03"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257" w:type="dxa"/>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Vrsta mjere: ekonomska, regulatorna, edukativna, informacijska</w:t>
            </w:r>
          </w:p>
        </w:tc>
      </w:tr>
      <w:tr w:rsidR="002D5E59" w:rsidRPr="00D60728" w:rsidTr="00BA77D2">
        <w:trPr>
          <w:trHeight w:val="454"/>
        </w:trPr>
        <w:tc>
          <w:tcPr>
            <w:tcW w:w="1887"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3"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257" w:type="dxa"/>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2D5E59" w:rsidRPr="00D60728" w:rsidTr="00BA77D2">
        <w:trPr>
          <w:trHeight w:val="454"/>
        </w:trPr>
        <w:tc>
          <w:tcPr>
            <w:tcW w:w="1887"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3" w:type="dxa"/>
            <w:vMerge/>
            <w:vAlign w:val="center"/>
            <w:hideMark/>
          </w:tcPr>
          <w:p w:rsidR="002D5E59" w:rsidRPr="00D60728" w:rsidRDefault="002D5E59" w:rsidP="00BF7DCC">
            <w:pPr>
              <w:spacing w:line="240" w:lineRule="auto"/>
              <w:rPr>
                <w:rFonts w:ascii="Times New Roman" w:hAnsi="Times New Roman"/>
                <w:sz w:val="20"/>
                <w:szCs w:val="20"/>
              </w:rPr>
            </w:pPr>
          </w:p>
        </w:tc>
        <w:tc>
          <w:tcPr>
            <w:tcW w:w="5257" w:type="dxa"/>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Kraj: 2030</w:t>
            </w:r>
          </w:p>
        </w:tc>
      </w:tr>
      <w:tr w:rsidR="002D5E59" w:rsidRPr="00D60728" w:rsidTr="00BA77D2">
        <w:trPr>
          <w:trHeight w:val="454"/>
        </w:trPr>
        <w:tc>
          <w:tcPr>
            <w:tcW w:w="1887"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3"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257" w:type="dxa"/>
            <w:vAlign w:val="center"/>
          </w:tcPr>
          <w:p w:rsidR="002D5E59" w:rsidRPr="00D60728" w:rsidRDefault="002D5E59" w:rsidP="00BF7DCC">
            <w:pPr>
              <w:pStyle w:val="ListParagraph"/>
              <w:numPr>
                <w:ilvl w:val="0"/>
                <w:numId w:val="46"/>
              </w:numPr>
              <w:spacing w:line="240" w:lineRule="auto"/>
              <w:ind w:left="197" w:hanging="197"/>
              <w:contextualSpacing w:val="0"/>
              <w:rPr>
                <w:rFonts w:ascii="Times New Roman" w:hAnsi="Times New Roman"/>
                <w:i/>
                <w:iCs/>
                <w:sz w:val="20"/>
                <w:szCs w:val="20"/>
              </w:rPr>
            </w:pPr>
            <w:r w:rsidRPr="00D60728">
              <w:rPr>
                <w:rFonts w:ascii="Times New Roman" w:hAnsi="Times New Roman"/>
                <w:i/>
                <w:iCs/>
                <w:sz w:val="20"/>
                <w:szCs w:val="20"/>
              </w:rPr>
              <w:t>Dodatno povećanje odliva ugljikova dioksida u spremniku drvnih proizvoda (HWP)</w:t>
            </w:r>
          </w:p>
          <w:p w:rsidR="002D5E59" w:rsidRPr="00D60728" w:rsidRDefault="002D5E59" w:rsidP="00BF7DCC">
            <w:pPr>
              <w:pStyle w:val="ListParagraph"/>
              <w:numPr>
                <w:ilvl w:val="0"/>
                <w:numId w:val="46"/>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Povećanje kvalitete i harmonizacija informacija o proizvedenim drvnim proizvodima za potrebe ispunjavanja međunarodnih obveza (UN, FAO, EU) i izrada podloga za donošenje srednjeročnih i dugoročnih planova i strategija u šumarskom i drvoprerađivačkom sektoru</w:t>
            </w:r>
          </w:p>
        </w:tc>
      </w:tr>
      <w:tr w:rsidR="002D5E59" w:rsidRPr="00D60728" w:rsidTr="00BA77D2">
        <w:trPr>
          <w:trHeight w:val="454"/>
        </w:trPr>
        <w:tc>
          <w:tcPr>
            <w:tcW w:w="1887" w:type="dxa"/>
            <w:vMerge/>
            <w:vAlign w:val="center"/>
          </w:tcPr>
          <w:p w:rsidR="002D5E59" w:rsidRPr="00D60728" w:rsidRDefault="002D5E59" w:rsidP="00BF7DCC">
            <w:pPr>
              <w:spacing w:line="240" w:lineRule="auto"/>
              <w:rPr>
                <w:rFonts w:ascii="Times New Roman" w:hAnsi="Times New Roman"/>
                <w:sz w:val="20"/>
                <w:szCs w:val="20"/>
              </w:rPr>
            </w:pPr>
          </w:p>
        </w:tc>
        <w:tc>
          <w:tcPr>
            <w:tcW w:w="1803"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257" w:type="dxa"/>
            <w:vAlign w:val="center"/>
          </w:tcPr>
          <w:p w:rsidR="002D5E59" w:rsidRPr="00D60728" w:rsidRDefault="002D5E59" w:rsidP="00BF7DCC">
            <w:pPr>
              <w:spacing w:line="240" w:lineRule="auto"/>
              <w:rPr>
                <w:rFonts w:ascii="Times New Roman" w:hAnsi="Times New Roman"/>
                <w:i/>
                <w:sz w:val="20"/>
                <w:szCs w:val="20"/>
              </w:rPr>
            </w:pPr>
            <w:r w:rsidRPr="00D60728">
              <w:rPr>
                <w:rFonts w:ascii="Times New Roman" w:hAnsi="Times New Roman"/>
                <w:i/>
                <w:iCs/>
                <w:sz w:val="20"/>
                <w:szCs w:val="20"/>
              </w:rPr>
              <w:t>Poticati korištenje drvnih proizvoda u tradicionalnim i novim proizvodima, te poduzimati aktivnosti osvješćivanja o važnosti drvnih proizvoda kao pohraništa ugljika, te značaj istih u smislu i dodatno izbjegnutih emisija kada se zbog uporabe ovih proizvoda izbjegnu emisije zbog proizvodnje npr plastičnih proizvoda..</w:t>
            </w:r>
          </w:p>
        </w:tc>
      </w:tr>
      <w:tr w:rsidR="002D5E59" w:rsidRPr="00D60728" w:rsidTr="00BA77D2">
        <w:trPr>
          <w:trHeight w:val="454"/>
        </w:trPr>
        <w:tc>
          <w:tcPr>
            <w:tcW w:w="1887"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3"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257" w:type="dxa"/>
            <w:vAlign w:val="center"/>
            <w:hideMark/>
          </w:tcPr>
          <w:p w:rsidR="002D5E59" w:rsidRPr="00D60728" w:rsidRDefault="002D5E59"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 xml:space="preserve">Ministarstvo zaštite okoliša i energetike, Ministarstvo poljoprivrede, Hrvatske šume d.o.o. </w:t>
            </w:r>
          </w:p>
        </w:tc>
      </w:tr>
      <w:tr w:rsidR="002D5E59" w:rsidRPr="00D60728" w:rsidTr="00BA77D2">
        <w:trPr>
          <w:trHeight w:val="1484"/>
        </w:trPr>
        <w:tc>
          <w:tcPr>
            <w:tcW w:w="1887"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03"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257" w:type="dxa"/>
            <w:vAlign w:val="center"/>
          </w:tcPr>
          <w:p w:rsidR="002D5E59" w:rsidRPr="00D60728" w:rsidRDefault="002D5E59" w:rsidP="00BF7DCC">
            <w:pPr>
              <w:pStyle w:val="ListParagraph"/>
              <w:numPr>
                <w:ilvl w:val="0"/>
                <w:numId w:val="47"/>
              </w:numPr>
              <w:spacing w:line="240" w:lineRule="auto"/>
              <w:ind w:left="197" w:hanging="197"/>
              <w:contextualSpacing w:val="0"/>
              <w:rPr>
                <w:rFonts w:ascii="Times New Roman" w:hAnsi="Times New Roman"/>
                <w:i/>
                <w:sz w:val="20"/>
                <w:szCs w:val="20"/>
              </w:rPr>
            </w:pPr>
            <w:r w:rsidRPr="00D60728">
              <w:rPr>
                <w:rFonts w:ascii="Times New Roman" w:hAnsi="Times New Roman"/>
                <w:i/>
                <w:sz w:val="20"/>
                <w:szCs w:val="20"/>
              </w:rPr>
              <w:t xml:space="preserve">Harmonizacija dostupnih podataka i statističkih izvješća  </w:t>
            </w:r>
          </w:p>
          <w:p w:rsidR="002D5E59" w:rsidRPr="00D60728" w:rsidRDefault="002D5E59" w:rsidP="00BF7DCC">
            <w:pPr>
              <w:pStyle w:val="ListParagraph"/>
              <w:numPr>
                <w:ilvl w:val="0"/>
                <w:numId w:val="47"/>
              </w:numPr>
              <w:spacing w:line="240" w:lineRule="auto"/>
              <w:ind w:left="197" w:hanging="197"/>
              <w:contextualSpacing w:val="0"/>
              <w:rPr>
                <w:rFonts w:ascii="Times New Roman" w:hAnsi="Times New Roman"/>
                <w:i/>
                <w:sz w:val="20"/>
                <w:szCs w:val="20"/>
              </w:rPr>
            </w:pPr>
            <w:r w:rsidRPr="00D60728">
              <w:rPr>
                <w:rFonts w:ascii="Times New Roman" w:hAnsi="Times New Roman"/>
                <w:i/>
                <w:sz w:val="20"/>
                <w:szCs w:val="20"/>
              </w:rPr>
              <w:t>Mapiranje šumarske i drvne industrijske proizvodnje</w:t>
            </w:r>
          </w:p>
          <w:p w:rsidR="002D5E59" w:rsidRPr="00D60728" w:rsidRDefault="002D5E59" w:rsidP="00BF7DCC">
            <w:pPr>
              <w:pStyle w:val="ListParagraph"/>
              <w:numPr>
                <w:ilvl w:val="0"/>
                <w:numId w:val="47"/>
              </w:numPr>
              <w:spacing w:line="240" w:lineRule="auto"/>
              <w:ind w:left="197" w:hanging="197"/>
              <w:contextualSpacing w:val="0"/>
              <w:rPr>
                <w:rFonts w:ascii="Times New Roman" w:hAnsi="Times New Roman"/>
                <w:i/>
                <w:sz w:val="20"/>
                <w:szCs w:val="20"/>
              </w:rPr>
            </w:pPr>
            <w:r w:rsidRPr="00D60728">
              <w:rPr>
                <w:rFonts w:ascii="Times New Roman" w:hAnsi="Times New Roman"/>
                <w:i/>
                <w:sz w:val="20"/>
                <w:szCs w:val="20"/>
              </w:rPr>
              <w:t>Poticanje korištenja drvnih proizvoda</w:t>
            </w:r>
          </w:p>
          <w:p w:rsidR="002D5E59" w:rsidRPr="00D60728" w:rsidRDefault="002D5E59" w:rsidP="00BF7DCC">
            <w:pPr>
              <w:pStyle w:val="ListParagraph"/>
              <w:numPr>
                <w:ilvl w:val="0"/>
                <w:numId w:val="47"/>
              </w:numPr>
              <w:spacing w:line="240" w:lineRule="auto"/>
              <w:ind w:left="197" w:hanging="197"/>
              <w:contextualSpacing w:val="0"/>
              <w:rPr>
                <w:rFonts w:ascii="Times New Roman" w:hAnsi="Times New Roman"/>
                <w:i/>
                <w:sz w:val="20"/>
                <w:szCs w:val="20"/>
              </w:rPr>
            </w:pPr>
            <w:r w:rsidRPr="00D60728">
              <w:rPr>
                <w:rFonts w:ascii="Times New Roman" w:hAnsi="Times New Roman"/>
                <w:i/>
                <w:sz w:val="20"/>
                <w:szCs w:val="20"/>
              </w:rPr>
              <w:t>Regulacija izvoza neobrađenog i poluobrađenog drva</w:t>
            </w:r>
          </w:p>
          <w:p w:rsidR="002D5E59" w:rsidRPr="00D60728" w:rsidRDefault="002D5E59" w:rsidP="00BF7DCC">
            <w:pPr>
              <w:pStyle w:val="ListParagraph"/>
              <w:numPr>
                <w:ilvl w:val="0"/>
                <w:numId w:val="47"/>
              </w:numPr>
              <w:spacing w:line="240" w:lineRule="auto"/>
              <w:ind w:left="197" w:hanging="197"/>
              <w:contextualSpacing w:val="0"/>
              <w:rPr>
                <w:rFonts w:ascii="Times New Roman" w:hAnsi="Times New Roman"/>
                <w:i/>
                <w:sz w:val="20"/>
                <w:szCs w:val="20"/>
              </w:rPr>
            </w:pPr>
            <w:r w:rsidRPr="00D60728">
              <w:rPr>
                <w:rFonts w:ascii="Times New Roman" w:hAnsi="Times New Roman"/>
                <w:i/>
                <w:sz w:val="20"/>
                <w:szCs w:val="20"/>
              </w:rPr>
              <w:t>Regulacija izvoza energetskog drva</w:t>
            </w:r>
          </w:p>
          <w:p w:rsidR="002D5E59" w:rsidRPr="00D60728" w:rsidRDefault="002D5E59" w:rsidP="00BF7DCC">
            <w:pPr>
              <w:pStyle w:val="ListParagraph"/>
              <w:numPr>
                <w:ilvl w:val="0"/>
                <w:numId w:val="47"/>
              </w:numPr>
              <w:spacing w:line="240" w:lineRule="auto"/>
              <w:ind w:left="197" w:hanging="197"/>
              <w:contextualSpacing w:val="0"/>
              <w:rPr>
                <w:rFonts w:ascii="Times New Roman" w:hAnsi="Times New Roman"/>
                <w:i/>
                <w:sz w:val="20"/>
                <w:szCs w:val="20"/>
              </w:rPr>
            </w:pPr>
            <w:r w:rsidRPr="00D60728">
              <w:rPr>
                <w:rFonts w:ascii="Times New Roman" w:hAnsi="Times New Roman"/>
                <w:i/>
                <w:sz w:val="20"/>
                <w:szCs w:val="20"/>
              </w:rPr>
              <w:t xml:space="preserve">Provedba stručnih i znanstvenih projekata </w:t>
            </w:r>
          </w:p>
        </w:tc>
      </w:tr>
      <w:tr w:rsidR="002D5E59" w:rsidRPr="00D60728" w:rsidTr="00BA77D2">
        <w:trPr>
          <w:trHeight w:val="454"/>
        </w:trPr>
        <w:tc>
          <w:tcPr>
            <w:tcW w:w="1887"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3"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257"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Ministarstvo zaštite okoliša i energetike, Ministarstvo poljoprivrede  </w:t>
            </w:r>
          </w:p>
        </w:tc>
      </w:tr>
      <w:tr w:rsidR="002D5E59" w:rsidRPr="00D60728" w:rsidTr="00BA77D2">
        <w:trPr>
          <w:trHeight w:val="454"/>
        </w:trPr>
        <w:tc>
          <w:tcPr>
            <w:tcW w:w="1887"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3"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257"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Hrvatske šume d.o.o. </w:t>
            </w:r>
          </w:p>
        </w:tc>
      </w:tr>
      <w:tr w:rsidR="002D5E59" w:rsidRPr="00D60728" w:rsidTr="00BA77D2">
        <w:trPr>
          <w:trHeight w:val="454"/>
        </w:trPr>
        <w:tc>
          <w:tcPr>
            <w:tcW w:w="1887"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3"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257" w:type="dxa"/>
            <w:vAlign w:val="center"/>
          </w:tcPr>
          <w:p w:rsidR="002D5E59" w:rsidRPr="00D60728" w:rsidRDefault="002D5E59" w:rsidP="00BF7DCC">
            <w:pPr>
              <w:pStyle w:val="ListParagraph"/>
              <w:spacing w:line="240" w:lineRule="auto"/>
              <w:ind w:left="212"/>
              <w:contextualSpacing w:val="0"/>
              <w:rPr>
                <w:rFonts w:ascii="Times New Roman" w:hAnsi="Times New Roman"/>
                <w:i/>
                <w:iCs/>
                <w:sz w:val="20"/>
                <w:szCs w:val="20"/>
              </w:rPr>
            </w:pPr>
            <w:r w:rsidRPr="00D60728">
              <w:rPr>
                <w:rFonts w:ascii="Times New Roman" w:hAnsi="Times New Roman"/>
                <w:i/>
                <w:iCs/>
                <w:sz w:val="20"/>
                <w:szCs w:val="20"/>
              </w:rPr>
              <w:t xml:space="preserve">Za provedbu analize i opravdanosti mjere potrebna su financijska sredstva u iznosu od 3 milijuna kuna; izvor financiranja – Fond za zaštitu okoliša i energetsku učinkovitost </w:t>
            </w:r>
          </w:p>
        </w:tc>
      </w:tr>
      <w:tr w:rsidR="002D5E59" w:rsidRPr="00D60728" w:rsidTr="00BA77D2">
        <w:trPr>
          <w:trHeight w:val="1382"/>
        </w:trPr>
        <w:tc>
          <w:tcPr>
            <w:tcW w:w="1887"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03" w:type="dxa"/>
            <w:vMerge w:val="restart"/>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5257"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emisija (Mt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Povećanje odliva (Mt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Izrada smjernica daljnjeg razvoja temeljem stečenih znanja provedbom mjere </w:t>
            </w:r>
          </w:p>
        </w:tc>
      </w:tr>
      <w:tr w:rsidR="002D5E59" w:rsidRPr="00D60728" w:rsidTr="00BA77D2">
        <w:trPr>
          <w:trHeight w:val="454"/>
        </w:trPr>
        <w:tc>
          <w:tcPr>
            <w:tcW w:w="1887" w:type="dxa"/>
            <w:vMerge/>
            <w:vAlign w:val="center"/>
          </w:tcPr>
          <w:p w:rsidR="002D5E59" w:rsidRPr="00D60728" w:rsidRDefault="002D5E59" w:rsidP="00BF7DCC">
            <w:pPr>
              <w:spacing w:line="240" w:lineRule="auto"/>
              <w:rPr>
                <w:rFonts w:ascii="Times New Roman" w:hAnsi="Times New Roman"/>
                <w:sz w:val="20"/>
                <w:szCs w:val="20"/>
              </w:rPr>
            </w:pPr>
          </w:p>
        </w:tc>
        <w:tc>
          <w:tcPr>
            <w:tcW w:w="1803" w:type="dxa"/>
            <w:vMerge/>
            <w:vAlign w:val="center"/>
          </w:tcPr>
          <w:p w:rsidR="002D5E59" w:rsidRPr="00D60728" w:rsidRDefault="002D5E59" w:rsidP="00BF7DCC">
            <w:pPr>
              <w:spacing w:line="240" w:lineRule="auto"/>
              <w:rPr>
                <w:rFonts w:ascii="Times New Roman" w:hAnsi="Times New Roman"/>
                <w:sz w:val="20"/>
                <w:szCs w:val="20"/>
              </w:rPr>
            </w:pPr>
          </w:p>
        </w:tc>
        <w:tc>
          <w:tcPr>
            <w:tcW w:w="5257"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Ostali očekivani učinci mjere: </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Kvalitetnije izvješćivanje, harmonizacija podataka, Izrada podloga za donošenje strateških planova, promocija upora</w:t>
            </w:r>
            <w:r w:rsidR="00DA5DF6">
              <w:rPr>
                <w:rFonts w:ascii="Times New Roman" w:hAnsi="Times New Roman"/>
                <w:i/>
                <w:iCs/>
                <w:sz w:val="20"/>
                <w:szCs w:val="20"/>
              </w:rPr>
              <w:t>b</w:t>
            </w:r>
            <w:r w:rsidRPr="00D60728">
              <w:rPr>
                <w:rFonts w:ascii="Times New Roman" w:hAnsi="Times New Roman"/>
                <w:i/>
                <w:iCs/>
                <w:sz w:val="20"/>
                <w:szCs w:val="20"/>
              </w:rPr>
              <w:t>e drvnih proizvoda, educiranje o važnosti drvnih proizvoda i njihov utjecaj na klimu i okoliš, Provedba stručnih i znanstvenih projekata u cilju potrebe prelaska na višu razinu IPCC metodologije (Tier 3).</w:t>
            </w:r>
          </w:p>
        </w:tc>
      </w:tr>
      <w:tr w:rsidR="002D5E59" w:rsidRPr="00D60728" w:rsidTr="00BA77D2">
        <w:trPr>
          <w:trHeight w:val="454"/>
        </w:trPr>
        <w:tc>
          <w:tcPr>
            <w:tcW w:w="1887"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3"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257" w:type="dxa"/>
            <w:vAlign w:val="center"/>
          </w:tcPr>
          <w:p w:rsidR="002D5E59" w:rsidRPr="00D60728" w:rsidRDefault="002D5E59" w:rsidP="00BF7DCC">
            <w:pPr>
              <w:spacing w:line="240" w:lineRule="auto"/>
              <w:rPr>
                <w:rFonts w:ascii="Times New Roman" w:hAnsi="Times New Roman"/>
                <w:i/>
                <w:sz w:val="20"/>
                <w:szCs w:val="20"/>
              </w:rPr>
            </w:pPr>
            <w:r w:rsidRPr="00D60728">
              <w:rPr>
                <w:rFonts w:ascii="Times New Roman" w:hAnsi="Times New Roman"/>
                <w:i/>
                <w:iCs/>
                <w:sz w:val="20"/>
                <w:szCs w:val="20"/>
              </w:rPr>
              <w:t xml:space="preserve">Provoditi analize učinkovitosti provedenih mjera i aktivnosti </w:t>
            </w:r>
          </w:p>
        </w:tc>
      </w:tr>
      <w:tr w:rsidR="002D5E59" w:rsidRPr="00D60728" w:rsidTr="00BA77D2">
        <w:trPr>
          <w:trHeight w:val="454"/>
        </w:trPr>
        <w:tc>
          <w:tcPr>
            <w:tcW w:w="1887"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3"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257"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Izvješće o inventaru emisija stakleničkih plinova na području RH (NIR), Izvješće o provedbi politika i mjera za smanjenje emisija stakleničkih plinova, Petogodišnje izvješće o praćenju </w:t>
            </w:r>
            <w:r w:rsidRPr="00D60728">
              <w:rPr>
                <w:rFonts w:ascii="Times New Roman" w:hAnsi="Times New Roman"/>
                <w:i/>
                <w:iCs/>
                <w:sz w:val="20"/>
                <w:szCs w:val="20"/>
              </w:rPr>
              <w:lastRenderedPageBreak/>
              <w:t>provedbe NUS, Analiza domaćih i međunarodnih statističkih pokazatelja</w:t>
            </w:r>
          </w:p>
        </w:tc>
      </w:tr>
      <w:tr w:rsidR="002D5E59" w:rsidRPr="00D60728" w:rsidTr="00BA77D2">
        <w:trPr>
          <w:trHeight w:val="454"/>
        </w:trPr>
        <w:tc>
          <w:tcPr>
            <w:tcW w:w="3690" w:type="dxa"/>
            <w:gridSpan w:val="2"/>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lastRenderedPageBreak/>
              <w:t>Sinergija/preklapanje s drugim mjerama</w:t>
            </w:r>
          </w:p>
        </w:tc>
        <w:tc>
          <w:tcPr>
            <w:tcW w:w="5257" w:type="dxa"/>
            <w:vAlign w:val="center"/>
          </w:tcPr>
          <w:p w:rsidR="002D5E59" w:rsidRPr="00D60728" w:rsidRDefault="002D5E59" w:rsidP="00BF7DCC">
            <w:pPr>
              <w:spacing w:line="240" w:lineRule="auto"/>
              <w:rPr>
                <w:rFonts w:ascii="Times New Roman" w:hAnsi="Times New Roman"/>
                <w:i/>
                <w:iCs/>
                <w:color w:val="A6A6A6" w:themeColor="background1" w:themeShade="A6"/>
                <w:sz w:val="20"/>
                <w:szCs w:val="20"/>
              </w:rPr>
            </w:pPr>
            <w:r w:rsidRPr="00D60728">
              <w:rPr>
                <w:rFonts w:ascii="Times New Roman" w:hAnsi="Times New Roman"/>
                <w:i/>
                <w:iCs/>
                <w:sz w:val="20"/>
                <w:szCs w:val="20"/>
              </w:rPr>
              <w:t>-</w:t>
            </w:r>
          </w:p>
        </w:tc>
      </w:tr>
    </w:tbl>
    <w:p w:rsidR="002D5E59" w:rsidRPr="00D60728" w:rsidRDefault="002D5E59" w:rsidP="00BF7DCC">
      <w:pPr>
        <w:spacing w:line="240" w:lineRule="auto"/>
        <w:rPr>
          <w:sz w:val="20"/>
          <w:szCs w:val="20"/>
        </w:rPr>
      </w:pPr>
    </w:p>
    <w:p w:rsidR="002D5E59" w:rsidRPr="00D60728" w:rsidRDefault="002D5E59" w:rsidP="00BF7DCC">
      <w:pPr>
        <w:spacing w:line="240" w:lineRule="auto"/>
        <w:rPr>
          <w:sz w:val="20"/>
          <w:szCs w:val="20"/>
        </w:rPr>
      </w:pPr>
    </w:p>
    <w:tbl>
      <w:tblPr>
        <w:tblStyle w:val="TableGrid"/>
        <w:tblW w:w="0" w:type="auto"/>
        <w:tblLook w:val="04A0" w:firstRow="1" w:lastRow="0" w:firstColumn="1" w:lastColumn="0" w:noHBand="0" w:noVBand="1"/>
      </w:tblPr>
      <w:tblGrid>
        <w:gridCol w:w="1884"/>
        <w:gridCol w:w="1801"/>
        <w:gridCol w:w="2669"/>
        <w:gridCol w:w="2593"/>
      </w:tblGrid>
      <w:tr w:rsidR="002D5E59" w:rsidRPr="006D54B7" w:rsidTr="00BA77D2">
        <w:trPr>
          <w:trHeight w:val="454"/>
        </w:trPr>
        <w:tc>
          <w:tcPr>
            <w:tcW w:w="3685" w:type="dxa"/>
            <w:gridSpan w:val="2"/>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Cs/>
              </w:rPr>
            </w:pPr>
            <w:r w:rsidRPr="006D54B7">
              <w:rPr>
                <w:rFonts w:ascii="Times New Roman" w:hAnsi="Times New Roman"/>
                <w:b/>
                <w:iCs/>
              </w:rPr>
              <w:t>Naziv mjere</w:t>
            </w:r>
          </w:p>
        </w:tc>
        <w:tc>
          <w:tcPr>
            <w:tcW w:w="5262" w:type="dxa"/>
            <w:gridSpan w:val="2"/>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
                <w:iCs/>
              </w:rPr>
            </w:pPr>
            <w:r w:rsidRPr="006D54B7">
              <w:rPr>
                <w:rFonts w:ascii="Times New Roman" w:hAnsi="Times New Roman"/>
                <w:b/>
                <w:i/>
                <w:iCs/>
              </w:rPr>
              <w:t>Gospodarenje poljoprivrednim zemljištem</w:t>
            </w:r>
          </w:p>
        </w:tc>
      </w:tr>
      <w:tr w:rsidR="002D5E59" w:rsidRPr="00D60728" w:rsidTr="00BA77D2">
        <w:trPr>
          <w:trHeight w:val="454"/>
        </w:trPr>
        <w:tc>
          <w:tcPr>
            <w:tcW w:w="3685" w:type="dxa"/>
            <w:gridSpan w:val="2"/>
            <w:vAlign w:val="center"/>
            <w:hideMark/>
          </w:tcPr>
          <w:p w:rsidR="002D5E59" w:rsidRPr="00D60728" w:rsidRDefault="002D5E59"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262"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Obuhvaća: MLF-5 i MLF-7</w:t>
            </w:r>
          </w:p>
        </w:tc>
      </w:tr>
      <w:tr w:rsidR="002D5E59" w:rsidRPr="00D60728" w:rsidTr="00BA77D2">
        <w:trPr>
          <w:trHeight w:val="454"/>
        </w:trPr>
        <w:tc>
          <w:tcPr>
            <w:tcW w:w="1884"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262"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Vrsta mjere: ekonomska</w:t>
            </w:r>
          </w:p>
        </w:tc>
      </w:tr>
      <w:tr w:rsidR="002D5E59" w:rsidRPr="00D60728" w:rsidTr="00BA77D2">
        <w:trPr>
          <w:trHeight w:val="454"/>
        </w:trPr>
        <w:tc>
          <w:tcPr>
            <w:tcW w:w="1884"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262"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2D5E59" w:rsidRPr="00D60728" w:rsidTr="00BA77D2">
        <w:trPr>
          <w:trHeight w:val="454"/>
        </w:trPr>
        <w:tc>
          <w:tcPr>
            <w:tcW w:w="1884"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Merge/>
            <w:vAlign w:val="center"/>
            <w:hideMark/>
          </w:tcPr>
          <w:p w:rsidR="002D5E59" w:rsidRPr="00D60728" w:rsidRDefault="002D5E59" w:rsidP="00BF7DCC">
            <w:pPr>
              <w:spacing w:line="240" w:lineRule="auto"/>
              <w:rPr>
                <w:rFonts w:ascii="Times New Roman" w:hAnsi="Times New Roman"/>
                <w:sz w:val="20"/>
                <w:szCs w:val="20"/>
              </w:rPr>
            </w:pPr>
          </w:p>
        </w:tc>
        <w:tc>
          <w:tcPr>
            <w:tcW w:w="5262"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Kraj: 2030</w:t>
            </w:r>
          </w:p>
        </w:tc>
      </w:tr>
      <w:tr w:rsidR="002D5E59" w:rsidRPr="00D60728" w:rsidTr="00BA77D2">
        <w:trPr>
          <w:trHeight w:val="454"/>
        </w:trPr>
        <w:tc>
          <w:tcPr>
            <w:tcW w:w="1884"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262"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Smanjiti emisije stakleničkih plinova promjenom i poboljšanjem načina gospodarenja poljoprivrednim površinama zemljišta. Ovo se prvenstveno odnosi na načine gospodarenja površinama pod različitim tipovima usjeva odnosno nasada. </w:t>
            </w:r>
          </w:p>
        </w:tc>
      </w:tr>
      <w:tr w:rsidR="002D5E59" w:rsidRPr="00D60728" w:rsidTr="00BA77D2">
        <w:trPr>
          <w:trHeight w:val="454"/>
        </w:trPr>
        <w:tc>
          <w:tcPr>
            <w:tcW w:w="1884" w:type="dxa"/>
            <w:vMerge/>
            <w:vAlign w:val="center"/>
          </w:tcPr>
          <w:p w:rsidR="002D5E59" w:rsidRPr="00D60728" w:rsidRDefault="002D5E59" w:rsidP="00BF7DCC">
            <w:pPr>
              <w:spacing w:line="240" w:lineRule="auto"/>
              <w:rPr>
                <w:rFonts w:ascii="Times New Roman" w:hAnsi="Times New Roman"/>
                <w:sz w:val="20"/>
                <w:szCs w:val="20"/>
              </w:rPr>
            </w:pPr>
          </w:p>
        </w:tc>
        <w:tc>
          <w:tcPr>
            <w:tcW w:w="1801"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262"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Poljoprivredna proizvodnja na način koji doprinosi smanjenju emisijskog faktora od interesa je za  obiteljska poljoprivredna gospodarstava s obzirom da je CAP uredbama EK-a visina poticaja veća ukoliko je emisijski faktor zbog načina gospodarenja ovim površinama niži. Prakse gospodarenja ovim površinama koje mogu imati utjecaja na emisije i odlive u primjerice u pohraništu tla su: načini obrade tla, životni vijek nasada/usjeva (rotacijsko razdoblje) i tip usjeva/nasada, primjena gnojiva, gospodarenje ostacima, kontrola erozije, primjena sustava navodnjavanja i dr.)</w:t>
            </w:r>
            <w:r w:rsidRPr="00D60728">
              <w:rPr>
                <w:rFonts w:ascii="Times New Roman" w:hAnsi="Times New Roman"/>
                <w:i/>
                <w:sz w:val="20"/>
                <w:szCs w:val="20"/>
              </w:rPr>
              <w:t xml:space="preserve">   </w:t>
            </w:r>
          </w:p>
        </w:tc>
      </w:tr>
      <w:tr w:rsidR="002D5E59" w:rsidRPr="00D60728" w:rsidTr="00BA77D2">
        <w:trPr>
          <w:trHeight w:val="454"/>
        </w:trPr>
        <w:tc>
          <w:tcPr>
            <w:tcW w:w="1884"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262" w:type="dxa"/>
            <w:gridSpan w:val="2"/>
            <w:vAlign w:val="center"/>
            <w:hideMark/>
          </w:tcPr>
          <w:p w:rsidR="002D5E59" w:rsidRPr="00D60728" w:rsidRDefault="002D5E59"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Ministarstvo zaštite okoliša i energetike, Ministarstvo poljoprivrede, Agencija za plaćanja u poljoprivredi</w:t>
            </w:r>
          </w:p>
        </w:tc>
      </w:tr>
      <w:tr w:rsidR="002D5E59" w:rsidRPr="00D60728" w:rsidTr="00BA77D2">
        <w:trPr>
          <w:trHeight w:val="454"/>
        </w:trPr>
        <w:tc>
          <w:tcPr>
            <w:tcW w:w="1884"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262" w:type="dxa"/>
            <w:gridSpan w:val="2"/>
            <w:vAlign w:val="center"/>
          </w:tcPr>
          <w:p w:rsidR="002D5E59" w:rsidRPr="00D60728" w:rsidRDefault="002D5E59" w:rsidP="00BF7DCC">
            <w:pPr>
              <w:spacing w:line="240" w:lineRule="auto"/>
              <w:rPr>
                <w:rFonts w:ascii="Times New Roman" w:hAnsi="Times New Roman"/>
                <w:i/>
                <w:sz w:val="20"/>
                <w:szCs w:val="20"/>
              </w:rPr>
            </w:pPr>
            <w:r w:rsidRPr="00D60728">
              <w:rPr>
                <w:rFonts w:ascii="Times New Roman" w:hAnsi="Times New Roman"/>
                <w:i/>
                <w:sz w:val="20"/>
                <w:szCs w:val="20"/>
              </w:rPr>
              <w:t>Definiranje emisijskih faktora za različite prakse gospodarenja, te ugljikove spremnike</w:t>
            </w:r>
          </w:p>
          <w:p w:rsidR="002D5E59" w:rsidRPr="00D60728" w:rsidRDefault="002D5E59" w:rsidP="00BF7DCC">
            <w:pPr>
              <w:spacing w:line="240" w:lineRule="auto"/>
              <w:rPr>
                <w:rFonts w:ascii="Times New Roman" w:hAnsi="Times New Roman"/>
                <w:sz w:val="20"/>
                <w:szCs w:val="20"/>
              </w:rPr>
            </w:pPr>
            <w:r w:rsidRPr="00D60728">
              <w:rPr>
                <w:rFonts w:ascii="Times New Roman" w:hAnsi="Times New Roman"/>
                <w:i/>
                <w:sz w:val="20"/>
                <w:szCs w:val="20"/>
              </w:rPr>
              <w:t>Prom</w:t>
            </w:r>
            <w:r w:rsidR="00DA5DF6">
              <w:rPr>
                <w:rFonts w:ascii="Times New Roman" w:hAnsi="Times New Roman"/>
                <w:i/>
                <w:sz w:val="20"/>
                <w:szCs w:val="20"/>
              </w:rPr>
              <w:t>o</w:t>
            </w:r>
            <w:r w:rsidRPr="00D60728">
              <w:rPr>
                <w:rFonts w:ascii="Times New Roman" w:hAnsi="Times New Roman"/>
                <w:i/>
                <w:sz w:val="20"/>
                <w:szCs w:val="20"/>
              </w:rPr>
              <w:t>cija aktivnosti upravljanja zemljištem  na način pogodan za klimu i okoliš</w:t>
            </w:r>
            <w:r w:rsidRPr="00D60728">
              <w:rPr>
                <w:rFonts w:ascii="Times New Roman" w:hAnsi="Times New Roman"/>
                <w:sz w:val="20"/>
                <w:szCs w:val="20"/>
              </w:rPr>
              <w:t xml:space="preserve"> </w:t>
            </w:r>
          </w:p>
          <w:p w:rsidR="002D5E59" w:rsidRPr="00D60728" w:rsidRDefault="002D5E59" w:rsidP="00BF7DCC">
            <w:pPr>
              <w:spacing w:line="240" w:lineRule="auto"/>
              <w:rPr>
                <w:rFonts w:ascii="Times New Roman" w:hAnsi="Times New Roman"/>
                <w:i/>
                <w:sz w:val="20"/>
                <w:szCs w:val="20"/>
              </w:rPr>
            </w:pPr>
            <w:r w:rsidRPr="00D60728">
              <w:rPr>
                <w:rFonts w:ascii="Times New Roman" w:hAnsi="Times New Roman"/>
                <w:i/>
                <w:sz w:val="20"/>
                <w:szCs w:val="20"/>
              </w:rPr>
              <w:t xml:space="preserve">Provedba stručnih i znanstvenih projekata </w:t>
            </w:r>
          </w:p>
        </w:tc>
      </w:tr>
      <w:tr w:rsidR="002D5E59" w:rsidRPr="00D60728" w:rsidTr="00BA77D2">
        <w:trPr>
          <w:trHeight w:val="454"/>
        </w:trPr>
        <w:tc>
          <w:tcPr>
            <w:tcW w:w="1884"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262"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zaštite okoliša i energetike ( u dijelu koji se odnosi na dostavu izviješća o provedbi odredbi Odluke 529/2013/EU)</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 (u dijelu koji se odnosi na provedbu Programa ruralnog razvoja i s njime povezanih EU propisa)</w:t>
            </w:r>
          </w:p>
        </w:tc>
      </w:tr>
      <w:tr w:rsidR="002D5E59" w:rsidRPr="00D60728" w:rsidTr="00BA77D2">
        <w:trPr>
          <w:trHeight w:val="454"/>
        </w:trPr>
        <w:tc>
          <w:tcPr>
            <w:tcW w:w="1884"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262"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 i Ministarstvo zaštite okoliša i prirode – tijela za praćenje provedbe</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Hrvatske šume d.o.o., ostala trgovačka društva,  Obiteljska poljoprivredna gospodarstva, obrti i  zadruge – Izvršitelj aktivnosti </w:t>
            </w:r>
          </w:p>
        </w:tc>
      </w:tr>
      <w:tr w:rsidR="002D5E59" w:rsidRPr="00D60728" w:rsidTr="00BA77D2">
        <w:trPr>
          <w:trHeight w:val="454"/>
        </w:trPr>
        <w:tc>
          <w:tcPr>
            <w:tcW w:w="1884"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262"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zaštite okoliša i energetike, Ministarstvo poljoprivrede</w:t>
            </w:r>
            <w:r w:rsidRPr="00D60728" w:rsidDel="0015641C">
              <w:rPr>
                <w:rFonts w:ascii="Times New Roman" w:hAnsi="Times New Roman"/>
                <w:i/>
                <w:sz w:val="20"/>
                <w:szCs w:val="20"/>
              </w:rPr>
              <w:t xml:space="preserve"> </w:t>
            </w:r>
          </w:p>
        </w:tc>
      </w:tr>
      <w:tr w:rsidR="002D5E59" w:rsidRPr="00D60728" w:rsidTr="00BA77D2">
        <w:trPr>
          <w:trHeight w:val="1382"/>
        </w:trPr>
        <w:tc>
          <w:tcPr>
            <w:tcW w:w="1884"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01" w:type="dxa"/>
            <w:vMerge w:val="restart"/>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669"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Smanjenje/zadržavanje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593"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Trenutno nije moguće kvantitativno prikazati smanjenje emisija zbog brojnih, različitih ulaznih parametara potrebnih za izračun.  </w:t>
            </w:r>
          </w:p>
        </w:tc>
      </w:tr>
      <w:tr w:rsidR="002D5E59" w:rsidRPr="00D60728" w:rsidTr="00BA77D2">
        <w:trPr>
          <w:trHeight w:val="454"/>
        </w:trPr>
        <w:tc>
          <w:tcPr>
            <w:tcW w:w="1884" w:type="dxa"/>
            <w:vMerge/>
            <w:vAlign w:val="center"/>
          </w:tcPr>
          <w:p w:rsidR="002D5E59" w:rsidRPr="00D60728" w:rsidRDefault="002D5E59" w:rsidP="00BF7DCC">
            <w:pPr>
              <w:spacing w:line="240" w:lineRule="auto"/>
              <w:rPr>
                <w:rFonts w:ascii="Times New Roman" w:hAnsi="Times New Roman"/>
                <w:sz w:val="20"/>
                <w:szCs w:val="20"/>
              </w:rPr>
            </w:pPr>
          </w:p>
        </w:tc>
        <w:tc>
          <w:tcPr>
            <w:tcW w:w="1801" w:type="dxa"/>
            <w:vMerge/>
            <w:vAlign w:val="center"/>
          </w:tcPr>
          <w:p w:rsidR="002D5E59" w:rsidRPr="00D60728" w:rsidRDefault="002D5E59" w:rsidP="00BF7DCC">
            <w:pPr>
              <w:spacing w:line="240" w:lineRule="auto"/>
              <w:rPr>
                <w:rFonts w:ascii="Times New Roman" w:hAnsi="Times New Roman"/>
                <w:sz w:val="20"/>
                <w:szCs w:val="20"/>
              </w:rPr>
            </w:pPr>
          </w:p>
        </w:tc>
        <w:tc>
          <w:tcPr>
            <w:tcW w:w="5262"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Ostali očekivani učinci mjere: </w:t>
            </w:r>
          </w:p>
          <w:p w:rsidR="002D5E59" w:rsidRPr="00D60728" w:rsidRDefault="002D5E59" w:rsidP="00BF7DCC">
            <w:pPr>
              <w:pStyle w:val="ListParagraph"/>
              <w:numPr>
                <w:ilvl w:val="0"/>
                <w:numId w:val="48"/>
              </w:numPr>
              <w:spacing w:line="240" w:lineRule="auto"/>
              <w:ind w:left="197" w:hanging="197"/>
              <w:rPr>
                <w:rFonts w:ascii="Times New Roman" w:hAnsi="Times New Roman"/>
                <w:i/>
                <w:sz w:val="20"/>
                <w:szCs w:val="20"/>
              </w:rPr>
            </w:pPr>
            <w:r w:rsidRPr="00D60728">
              <w:rPr>
                <w:rFonts w:ascii="Times New Roman" w:hAnsi="Times New Roman"/>
                <w:i/>
                <w:sz w:val="20"/>
                <w:szCs w:val="20"/>
              </w:rPr>
              <w:lastRenderedPageBreak/>
              <w:t>Promocija i usvajanje novih praksi gospodarenja poljoprivrednim površinama koje su pogodne za klimu i okoliš od strane većeg broja svih zainteresiranih skupina;</w:t>
            </w:r>
          </w:p>
          <w:p w:rsidR="002D5E59" w:rsidRPr="00D60728" w:rsidRDefault="002D5E59" w:rsidP="00BF7DCC">
            <w:pPr>
              <w:pStyle w:val="ListParagraph"/>
              <w:numPr>
                <w:ilvl w:val="0"/>
                <w:numId w:val="48"/>
              </w:numPr>
              <w:spacing w:line="240" w:lineRule="auto"/>
              <w:ind w:left="197" w:hanging="197"/>
              <w:rPr>
                <w:rFonts w:ascii="Times New Roman" w:hAnsi="Times New Roman"/>
                <w:i/>
                <w:sz w:val="20"/>
                <w:szCs w:val="20"/>
              </w:rPr>
            </w:pPr>
            <w:r w:rsidRPr="00D60728">
              <w:rPr>
                <w:rFonts w:ascii="Times New Roman" w:hAnsi="Times New Roman"/>
                <w:i/>
                <w:sz w:val="20"/>
                <w:szCs w:val="20"/>
              </w:rPr>
              <w:t xml:space="preserve">Veća iskoristivost financijskih sredstava dostupnih u Programu ruralnog razvoja RH za provedbu praksi gospodarenja kojima se doprinosi zaštiti okoliša i očuvanju klime; </w:t>
            </w:r>
          </w:p>
          <w:p w:rsidR="002D5E59" w:rsidRPr="00D60728" w:rsidRDefault="002D5E59" w:rsidP="00BF7DCC">
            <w:pPr>
              <w:pStyle w:val="ListParagraph"/>
              <w:numPr>
                <w:ilvl w:val="0"/>
                <w:numId w:val="48"/>
              </w:numPr>
              <w:spacing w:line="240" w:lineRule="auto"/>
              <w:ind w:left="197" w:hanging="197"/>
              <w:rPr>
                <w:rFonts w:ascii="Times New Roman" w:hAnsi="Times New Roman"/>
                <w:i/>
                <w:sz w:val="20"/>
                <w:szCs w:val="20"/>
              </w:rPr>
            </w:pPr>
            <w:r w:rsidRPr="00D60728">
              <w:rPr>
                <w:rFonts w:ascii="Times New Roman" w:hAnsi="Times New Roman"/>
                <w:i/>
                <w:sz w:val="20"/>
                <w:szCs w:val="20"/>
              </w:rPr>
              <w:t>Povećanje interesa i veće zapošljavanje u sektoru poljoprivrede radi primjene novih, zelenih tehnologija u gospodarenju poljoprivrednim površinama</w:t>
            </w:r>
          </w:p>
          <w:p w:rsidR="002D5E59" w:rsidRPr="00D60728" w:rsidRDefault="002D5E59" w:rsidP="00BF7DCC">
            <w:pPr>
              <w:pStyle w:val="ListParagraph"/>
              <w:numPr>
                <w:ilvl w:val="0"/>
                <w:numId w:val="48"/>
              </w:numPr>
              <w:spacing w:line="240" w:lineRule="auto"/>
              <w:ind w:left="197" w:hanging="197"/>
              <w:rPr>
                <w:rFonts w:ascii="Times New Roman" w:hAnsi="Times New Roman"/>
                <w:i/>
                <w:sz w:val="20"/>
                <w:szCs w:val="20"/>
              </w:rPr>
            </w:pPr>
            <w:r w:rsidRPr="00D60728">
              <w:rPr>
                <w:rFonts w:ascii="Times New Roman" w:hAnsi="Times New Roman"/>
                <w:i/>
                <w:sz w:val="20"/>
                <w:szCs w:val="20"/>
              </w:rPr>
              <w:t>Povećanje dobiti i kvalitete života radi uključivanja u provedbu mjera Programa ruralnog razvoja kojima se doprinosi zaštiti okoliša i očuvanju klime  s obzirom da je visina poticaja ovisna o emisijskom faktoru (manji emisijski faktor, veći poticaji)</w:t>
            </w:r>
          </w:p>
          <w:p w:rsidR="002D5E59" w:rsidRPr="00D60728" w:rsidRDefault="002D5E59" w:rsidP="00BF7DCC">
            <w:pPr>
              <w:pStyle w:val="ListParagraph"/>
              <w:numPr>
                <w:ilvl w:val="0"/>
                <w:numId w:val="48"/>
              </w:numPr>
              <w:spacing w:line="240" w:lineRule="auto"/>
              <w:ind w:left="197" w:hanging="197"/>
              <w:rPr>
                <w:rFonts w:ascii="Times New Roman" w:hAnsi="Times New Roman"/>
                <w:i/>
                <w:iCs/>
                <w:sz w:val="20"/>
                <w:szCs w:val="20"/>
              </w:rPr>
            </w:pPr>
            <w:r w:rsidRPr="00D60728">
              <w:rPr>
                <w:rFonts w:ascii="Times New Roman" w:hAnsi="Times New Roman"/>
                <w:i/>
                <w:iCs/>
                <w:sz w:val="20"/>
                <w:szCs w:val="20"/>
              </w:rPr>
              <w:t>Izrada novih smjernica i definiranja mjera u poljoprivrednom sektoru za financiranje u Programu ruralnog razvitka RH u periodu nakon 2027. godine</w:t>
            </w:r>
          </w:p>
          <w:p w:rsidR="002D5E59" w:rsidRPr="00D60728" w:rsidRDefault="002D5E59" w:rsidP="00BF7DCC">
            <w:pPr>
              <w:pStyle w:val="ListParagraph"/>
              <w:numPr>
                <w:ilvl w:val="0"/>
                <w:numId w:val="48"/>
              </w:numPr>
              <w:spacing w:line="240" w:lineRule="auto"/>
              <w:ind w:left="197" w:hanging="197"/>
              <w:rPr>
                <w:rFonts w:ascii="Times New Roman" w:hAnsi="Times New Roman"/>
                <w:i/>
                <w:iCs/>
                <w:sz w:val="20"/>
                <w:szCs w:val="20"/>
              </w:rPr>
            </w:pPr>
            <w:r w:rsidRPr="00D60728">
              <w:rPr>
                <w:rFonts w:ascii="Times New Roman" w:hAnsi="Times New Roman"/>
                <w:i/>
                <w:iCs/>
                <w:sz w:val="20"/>
                <w:szCs w:val="20"/>
              </w:rPr>
              <w:t>Provedba stručnih i znanstvenih projekata u cilju potrebe prelaska na višu razinu IPCC metodologije (Tier 3).</w:t>
            </w:r>
          </w:p>
        </w:tc>
      </w:tr>
      <w:tr w:rsidR="002D5E59" w:rsidRPr="00D60728" w:rsidTr="00BA77D2">
        <w:trPr>
          <w:trHeight w:val="454"/>
        </w:trPr>
        <w:tc>
          <w:tcPr>
            <w:tcW w:w="1884"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262" w:type="dxa"/>
            <w:gridSpan w:val="2"/>
            <w:vAlign w:val="center"/>
          </w:tcPr>
          <w:p w:rsidR="002D5E59" w:rsidRPr="00D60728" w:rsidRDefault="002D5E59" w:rsidP="00BF7DCC">
            <w:pPr>
              <w:pStyle w:val="ListParagraph"/>
              <w:numPr>
                <w:ilvl w:val="0"/>
                <w:numId w:val="28"/>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 xml:space="preserve">Praćenje realizacije financijskih sredstava po pojedinoj godini dostupnih u Programu ruralnog razvoja dostupnih za operacije povezane s gospodarenjem poljoprivrednim površinama </w:t>
            </w:r>
          </w:p>
          <w:p w:rsidR="002D5E59" w:rsidRPr="00D60728" w:rsidRDefault="002D5E59" w:rsidP="00BF7DCC">
            <w:pPr>
              <w:pStyle w:val="ListParagraph"/>
              <w:numPr>
                <w:ilvl w:val="0"/>
                <w:numId w:val="28"/>
              </w:numPr>
              <w:spacing w:line="240" w:lineRule="auto"/>
              <w:ind w:left="234" w:hanging="234"/>
              <w:contextualSpacing w:val="0"/>
              <w:rPr>
                <w:rFonts w:ascii="Times New Roman" w:hAnsi="Times New Roman"/>
                <w:i/>
                <w:sz w:val="20"/>
                <w:szCs w:val="20"/>
              </w:rPr>
            </w:pPr>
            <w:r w:rsidRPr="00D60728">
              <w:rPr>
                <w:rFonts w:ascii="Times New Roman" w:hAnsi="Times New Roman"/>
                <w:i/>
                <w:iCs/>
                <w:sz w:val="20"/>
                <w:szCs w:val="20"/>
              </w:rPr>
              <w:t xml:space="preserve">Evidencija povećanja površina na kojima se provode operacije korisne za okoliš i klimu u ARKOD bazi </w:t>
            </w:r>
          </w:p>
        </w:tc>
      </w:tr>
      <w:tr w:rsidR="002D5E59" w:rsidRPr="00D60728" w:rsidTr="00BA77D2">
        <w:trPr>
          <w:trHeight w:val="454"/>
        </w:trPr>
        <w:tc>
          <w:tcPr>
            <w:tcW w:w="1884"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262"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inventaru emisija stakleničkih plinova na području RH (NIR); Izvješće o provedbi politika i mjera za smanjenje emisija stakleničkih plinova; Petogodišnje izvješće o praćenju provedbe NUS; Izvješće o provedbi odredbi Odluke 529/2013/EU; Izvješće o provedbi Plana ruralnog razvoja RH;</w:t>
            </w:r>
          </w:p>
        </w:tc>
      </w:tr>
      <w:tr w:rsidR="002D5E59" w:rsidRPr="00D60728" w:rsidTr="00BA77D2">
        <w:trPr>
          <w:trHeight w:val="454"/>
        </w:trPr>
        <w:tc>
          <w:tcPr>
            <w:tcW w:w="3685" w:type="dxa"/>
            <w:gridSpan w:val="2"/>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262" w:type="dxa"/>
            <w:gridSpan w:val="2"/>
            <w:vAlign w:val="center"/>
          </w:tcPr>
          <w:p w:rsidR="002D5E59" w:rsidRPr="00D60728" w:rsidRDefault="002D5E59" w:rsidP="00BF7DCC">
            <w:pPr>
              <w:spacing w:line="240" w:lineRule="auto"/>
              <w:rPr>
                <w:rFonts w:ascii="Times New Roman" w:hAnsi="Times New Roman"/>
                <w:i/>
                <w:iCs/>
                <w:color w:val="A6A6A6" w:themeColor="background1" w:themeShade="A6"/>
                <w:sz w:val="20"/>
                <w:szCs w:val="20"/>
              </w:rPr>
            </w:pPr>
            <w:r w:rsidRPr="00D60728">
              <w:rPr>
                <w:rFonts w:ascii="Times New Roman" w:hAnsi="Times New Roman"/>
                <w:i/>
                <w:iCs/>
                <w:sz w:val="20"/>
                <w:szCs w:val="20"/>
              </w:rPr>
              <w:t>Moguća djelomična preklapanja sa pojedinom mjerom/dijelom mjere definiranom u sektoru Poljoprivrede</w:t>
            </w:r>
          </w:p>
        </w:tc>
      </w:tr>
    </w:tbl>
    <w:p w:rsidR="002D5E59" w:rsidRPr="00D60728" w:rsidRDefault="002D5E59" w:rsidP="00BF7DCC">
      <w:pPr>
        <w:spacing w:line="240" w:lineRule="auto"/>
        <w:rPr>
          <w:sz w:val="20"/>
          <w:szCs w:val="20"/>
        </w:rPr>
      </w:pPr>
    </w:p>
    <w:p w:rsidR="002D5E59" w:rsidRPr="00D60728" w:rsidRDefault="002D5E59" w:rsidP="00BF7DCC">
      <w:pPr>
        <w:spacing w:line="240" w:lineRule="auto"/>
        <w:rPr>
          <w:sz w:val="20"/>
          <w:szCs w:val="20"/>
        </w:rPr>
      </w:pPr>
    </w:p>
    <w:tbl>
      <w:tblPr>
        <w:tblStyle w:val="TableGrid"/>
        <w:tblW w:w="0" w:type="auto"/>
        <w:tblLook w:val="04A0" w:firstRow="1" w:lastRow="0" w:firstColumn="1" w:lastColumn="0" w:noHBand="0" w:noVBand="1"/>
      </w:tblPr>
      <w:tblGrid>
        <w:gridCol w:w="1883"/>
        <w:gridCol w:w="1801"/>
        <w:gridCol w:w="2669"/>
        <w:gridCol w:w="2594"/>
      </w:tblGrid>
      <w:tr w:rsidR="002D5E59" w:rsidRPr="006D54B7" w:rsidTr="00BA77D2">
        <w:trPr>
          <w:trHeight w:val="454"/>
        </w:trPr>
        <w:tc>
          <w:tcPr>
            <w:tcW w:w="3684" w:type="dxa"/>
            <w:gridSpan w:val="2"/>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Cs/>
              </w:rPr>
            </w:pPr>
            <w:r w:rsidRPr="006D54B7">
              <w:rPr>
                <w:rFonts w:ascii="Times New Roman" w:hAnsi="Times New Roman"/>
                <w:b/>
                <w:iCs/>
              </w:rPr>
              <w:t>Naziv mjere</w:t>
            </w:r>
          </w:p>
        </w:tc>
        <w:tc>
          <w:tcPr>
            <w:tcW w:w="5263" w:type="dxa"/>
            <w:gridSpan w:val="2"/>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
                <w:iCs/>
              </w:rPr>
            </w:pPr>
            <w:r w:rsidRPr="006D54B7">
              <w:rPr>
                <w:rFonts w:ascii="Times New Roman" w:hAnsi="Times New Roman"/>
                <w:b/>
                <w:i/>
                <w:iCs/>
              </w:rPr>
              <w:t>Gospodarenje pašnjacima</w:t>
            </w:r>
          </w:p>
        </w:tc>
      </w:tr>
      <w:tr w:rsidR="002D5E59" w:rsidRPr="00D60728" w:rsidTr="00BA77D2">
        <w:trPr>
          <w:trHeight w:val="454"/>
        </w:trPr>
        <w:tc>
          <w:tcPr>
            <w:tcW w:w="3684" w:type="dxa"/>
            <w:gridSpan w:val="2"/>
            <w:vAlign w:val="center"/>
            <w:hideMark/>
          </w:tcPr>
          <w:p w:rsidR="002D5E59" w:rsidRPr="00D60728" w:rsidRDefault="002D5E59"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263"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Obuhvaća: MLF-6 i MLF-7</w:t>
            </w:r>
          </w:p>
        </w:tc>
      </w:tr>
      <w:tr w:rsidR="002D5E59" w:rsidRPr="00D60728" w:rsidTr="00BA77D2">
        <w:trPr>
          <w:trHeight w:val="454"/>
        </w:trPr>
        <w:tc>
          <w:tcPr>
            <w:tcW w:w="1883"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263"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Vrsta mjere: ekonomska</w:t>
            </w:r>
          </w:p>
        </w:tc>
      </w:tr>
      <w:tr w:rsidR="002D5E59" w:rsidRPr="00D60728" w:rsidTr="00BA77D2">
        <w:trPr>
          <w:trHeight w:val="454"/>
        </w:trPr>
        <w:tc>
          <w:tcPr>
            <w:tcW w:w="1883"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263"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2D5E59" w:rsidRPr="00D60728" w:rsidTr="00BA77D2">
        <w:trPr>
          <w:trHeight w:val="454"/>
        </w:trPr>
        <w:tc>
          <w:tcPr>
            <w:tcW w:w="1883"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Merge/>
            <w:vAlign w:val="center"/>
            <w:hideMark/>
          </w:tcPr>
          <w:p w:rsidR="002D5E59" w:rsidRPr="00D60728" w:rsidRDefault="002D5E59" w:rsidP="00BF7DCC">
            <w:pPr>
              <w:spacing w:line="240" w:lineRule="auto"/>
              <w:rPr>
                <w:rFonts w:ascii="Times New Roman" w:hAnsi="Times New Roman"/>
                <w:sz w:val="20"/>
                <w:szCs w:val="20"/>
              </w:rPr>
            </w:pPr>
          </w:p>
        </w:tc>
        <w:tc>
          <w:tcPr>
            <w:tcW w:w="5263"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Kraj: 2030</w:t>
            </w:r>
          </w:p>
        </w:tc>
      </w:tr>
      <w:tr w:rsidR="002D5E59" w:rsidRPr="00D60728" w:rsidTr="00BA77D2">
        <w:trPr>
          <w:trHeight w:val="454"/>
        </w:trPr>
        <w:tc>
          <w:tcPr>
            <w:tcW w:w="1883"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263"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Smanjiti emisije stakleničkih plinova promjenom i poboljšanjem načina gospodarenja površinama pašnjaka u RH. </w:t>
            </w:r>
          </w:p>
        </w:tc>
      </w:tr>
      <w:tr w:rsidR="002D5E59" w:rsidRPr="00D60728" w:rsidTr="00BA77D2">
        <w:trPr>
          <w:trHeight w:val="454"/>
        </w:trPr>
        <w:tc>
          <w:tcPr>
            <w:tcW w:w="1883" w:type="dxa"/>
            <w:vMerge/>
            <w:vAlign w:val="center"/>
          </w:tcPr>
          <w:p w:rsidR="002D5E59" w:rsidRPr="00D60728" w:rsidRDefault="002D5E59" w:rsidP="00BF7DCC">
            <w:pPr>
              <w:spacing w:line="240" w:lineRule="auto"/>
              <w:rPr>
                <w:rFonts w:ascii="Times New Roman" w:hAnsi="Times New Roman"/>
                <w:sz w:val="20"/>
                <w:szCs w:val="20"/>
              </w:rPr>
            </w:pPr>
          </w:p>
        </w:tc>
        <w:tc>
          <w:tcPr>
            <w:tcW w:w="1801"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263"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Provedbom aktivnosti u gospodarenju pašnjacima na način koji doprinosi smanjenju emisijskog faktora od interesa je za  obiteljska poljoprivredna gospodarstva s obzirom da je CAP uredbama EK-a visina poticaja veća ukoliko je emisijski faktor zbog načina gospodarenja ovim površinama niži.</w:t>
            </w:r>
          </w:p>
        </w:tc>
      </w:tr>
      <w:tr w:rsidR="002D5E59" w:rsidRPr="00D60728" w:rsidTr="00BA77D2">
        <w:trPr>
          <w:trHeight w:val="454"/>
        </w:trPr>
        <w:tc>
          <w:tcPr>
            <w:tcW w:w="1883"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263" w:type="dxa"/>
            <w:gridSpan w:val="2"/>
            <w:vAlign w:val="center"/>
            <w:hideMark/>
          </w:tcPr>
          <w:p w:rsidR="002D5E59" w:rsidRPr="00D60728" w:rsidRDefault="002D5E59"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Ministarstvo zaštite okoliša i energetike, Ministarstvo poljoprivrede, Hrvatske šume d.o.o.; Korisnici Programa ruralnog razvoja RH</w:t>
            </w:r>
          </w:p>
        </w:tc>
      </w:tr>
      <w:tr w:rsidR="002D5E59" w:rsidRPr="00D60728" w:rsidTr="00BA77D2">
        <w:trPr>
          <w:trHeight w:val="454"/>
        </w:trPr>
        <w:tc>
          <w:tcPr>
            <w:tcW w:w="1883"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263" w:type="dxa"/>
            <w:gridSpan w:val="2"/>
            <w:vAlign w:val="center"/>
          </w:tcPr>
          <w:p w:rsidR="002D5E59" w:rsidRPr="00D60728" w:rsidRDefault="002D5E59" w:rsidP="00BF7DCC">
            <w:pPr>
              <w:spacing w:line="240" w:lineRule="auto"/>
              <w:rPr>
                <w:rFonts w:ascii="Times New Roman" w:hAnsi="Times New Roman"/>
                <w:i/>
                <w:sz w:val="20"/>
                <w:szCs w:val="20"/>
              </w:rPr>
            </w:pPr>
            <w:r w:rsidRPr="00D60728">
              <w:rPr>
                <w:rFonts w:ascii="Times New Roman" w:hAnsi="Times New Roman"/>
                <w:i/>
                <w:sz w:val="20"/>
                <w:szCs w:val="20"/>
              </w:rPr>
              <w:t>Definiranje emisijskih faktora za različite prakse gospodarenja, te ugljikove spremnike</w:t>
            </w:r>
          </w:p>
          <w:p w:rsidR="002D5E59" w:rsidRPr="00D60728" w:rsidRDefault="002D5E59" w:rsidP="00BF7DCC">
            <w:pPr>
              <w:spacing w:line="240" w:lineRule="auto"/>
              <w:rPr>
                <w:rFonts w:ascii="Times New Roman" w:hAnsi="Times New Roman"/>
                <w:i/>
                <w:sz w:val="20"/>
                <w:szCs w:val="20"/>
              </w:rPr>
            </w:pPr>
            <w:r w:rsidRPr="00D60728">
              <w:rPr>
                <w:rFonts w:ascii="Times New Roman" w:hAnsi="Times New Roman"/>
                <w:i/>
                <w:sz w:val="20"/>
                <w:szCs w:val="20"/>
              </w:rPr>
              <w:t>Promcija aktivnosti upravljanja zemljištem  na način pogodan za klimu i okoliš</w:t>
            </w:r>
          </w:p>
          <w:p w:rsidR="002D5E59" w:rsidRPr="00D60728" w:rsidRDefault="002D5E59" w:rsidP="00BF7DCC">
            <w:pPr>
              <w:spacing w:line="240" w:lineRule="auto"/>
              <w:rPr>
                <w:rFonts w:ascii="Times New Roman" w:hAnsi="Times New Roman"/>
                <w:sz w:val="20"/>
                <w:szCs w:val="20"/>
              </w:rPr>
            </w:pPr>
            <w:r w:rsidRPr="00D60728">
              <w:rPr>
                <w:rFonts w:ascii="Times New Roman" w:hAnsi="Times New Roman"/>
                <w:i/>
                <w:sz w:val="20"/>
                <w:szCs w:val="20"/>
              </w:rPr>
              <w:lastRenderedPageBreak/>
              <w:t>Provedba stručnih i znanstvenih projekata</w:t>
            </w:r>
          </w:p>
        </w:tc>
      </w:tr>
      <w:tr w:rsidR="002D5E59" w:rsidRPr="00D60728" w:rsidTr="00BA77D2">
        <w:trPr>
          <w:trHeight w:val="454"/>
        </w:trPr>
        <w:tc>
          <w:tcPr>
            <w:tcW w:w="1883"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263"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zaštite okoliša i energetike ( u dijelu koji se odnosi na dostavu izviješća o provedbi odredbi Odluke 529/2013/EU)</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 (u dijelu koji se odnosi na provedbu Programa ruralnog razvoja i s njime povezanih EU propisa)</w:t>
            </w:r>
          </w:p>
        </w:tc>
      </w:tr>
      <w:tr w:rsidR="002D5E59" w:rsidRPr="00D60728" w:rsidTr="00BA77D2">
        <w:trPr>
          <w:trHeight w:val="454"/>
        </w:trPr>
        <w:tc>
          <w:tcPr>
            <w:tcW w:w="1883"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263"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 i Ministarstvo zaštite okoliša i energetike – tijela za praćenje provedbe</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Hrvatske šume d.o.o., ostala trgovačka društva,  Obiteljska poljoprivredna gospodarstva, obrti i  zadruge – Izvršitelji aktivnosti </w:t>
            </w:r>
          </w:p>
        </w:tc>
      </w:tr>
      <w:tr w:rsidR="002D5E59" w:rsidRPr="00D60728" w:rsidTr="00BA77D2">
        <w:trPr>
          <w:trHeight w:val="454"/>
        </w:trPr>
        <w:tc>
          <w:tcPr>
            <w:tcW w:w="1883"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263"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zaštite okoliša i energetike, Ministarstvo poljoprivrede</w:t>
            </w:r>
            <w:r w:rsidRPr="00D60728" w:rsidDel="0015641C">
              <w:rPr>
                <w:rFonts w:ascii="Times New Roman" w:hAnsi="Times New Roman"/>
                <w:i/>
                <w:sz w:val="20"/>
                <w:szCs w:val="20"/>
              </w:rPr>
              <w:t xml:space="preserve"> </w:t>
            </w:r>
          </w:p>
        </w:tc>
      </w:tr>
      <w:tr w:rsidR="002D5E59" w:rsidRPr="00D60728" w:rsidTr="00BA77D2">
        <w:trPr>
          <w:trHeight w:val="1382"/>
        </w:trPr>
        <w:tc>
          <w:tcPr>
            <w:tcW w:w="1883"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01" w:type="dxa"/>
            <w:vMerge w:val="restart"/>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669"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594"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Trenutno nije moguće kvantitativno prikazati smanjenje emisija zbog brojnih, različitih ulaznih parametara potrebnih za izračun.  </w:t>
            </w:r>
          </w:p>
        </w:tc>
      </w:tr>
      <w:tr w:rsidR="002D5E59" w:rsidRPr="00D60728" w:rsidTr="00BA77D2">
        <w:trPr>
          <w:trHeight w:val="454"/>
        </w:trPr>
        <w:tc>
          <w:tcPr>
            <w:tcW w:w="1883" w:type="dxa"/>
            <w:vMerge/>
            <w:vAlign w:val="center"/>
          </w:tcPr>
          <w:p w:rsidR="002D5E59" w:rsidRPr="00D60728" w:rsidRDefault="002D5E59" w:rsidP="00BF7DCC">
            <w:pPr>
              <w:spacing w:line="240" w:lineRule="auto"/>
              <w:rPr>
                <w:rFonts w:ascii="Times New Roman" w:hAnsi="Times New Roman"/>
                <w:sz w:val="20"/>
                <w:szCs w:val="20"/>
              </w:rPr>
            </w:pPr>
          </w:p>
        </w:tc>
        <w:tc>
          <w:tcPr>
            <w:tcW w:w="1801" w:type="dxa"/>
            <w:vMerge/>
            <w:vAlign w:val="center"/>
          </w:tcPr>
          <w:p w:rsidR="002D5E59" w:rsidRPr="00D60728" w:rsidRDefault="002D5E59" w:rsidP="00BF7DCC">
            <w:pPr>
              <w:spacing w:line="240" w:lineRule="auto"/>
              <w:rPr>
                <w:rFonts w:ascii="Times New Roman" w:hAnsi="Times New Roman"/>
                <w:sz w:val="20"/>
                <w:szCs w:val="20"/>
              </w:rPr>
            </w:pPr>
          </w:p>
        </w:tc>
        <w:tc>
          <w:tcPr>
            <w:tcW w:w="5263"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Ostali očekivani učinci mjere: </w:t>
            </w:r>
          </w:p>
          <w:p w:rsidR="002D5E59" w:rsidRPr="00D60728" w:rsidRDefault="002D5E59" w:rsidP="00BF7DCC">
            <w:pPr>
              <w:pStyle w:val="ListParagraph"/>
              <w:numPr>
                <w:ilvl w:val="0"/>
                <w:numId w:val="49"/>
              </w:numPr>
              <w:spacing w:line="240" w:lineRule="auto"/>
              <w:ind w:left="197" w:hanging="197"/>
              <w:rPr>
                <w:rFonts w:ascii="Times New Roman" w:hAnsi="Times New Roman"/>
                <w:i/>
                <w:sz w:val="20"/>
                <w:szCs w:val="20"/>
              </w:rPr>
            </w:pPr>
            <w:r w:rsidRPr="00D60728">
              <w:rPr>
                <w:rFonts w:ascii="Times New Roman" w:hAnsi="Times New Roman"/>
                <w:i/>
                <w:sz w:val="20"/>
                <w:szCs w:val="20"/>
              </w:rPr>
              <w:t>Promocija i usvajanje novih praksi gospodarenja pašnjacima koje su pogodne za klimu i okoliš od strane većeg broja svih zainteresiranih skupina;</w:t>
            </w:r>
          </w:p>
          <w:p w:rsidR="002D5E59" w:rsidRPr="00D60728" w:rsidRDefault="002D5E59" w:rsidP="00BF7DCC">
            <w:pPr>
              <w:pStyle w:val="ListParagraph"/>
              <w:numPr>
                <w:ilvl w:val="0"/>
                <w:numId w:val="49"/>
              </w:numPr>
              <w:spacing w:line="240" w:lineRule="auto"/>
              <w:ind w:left="197" w:hanging="197"/>
              <w:rPr>
                <w:rFonts w:ascii="Times New Roman" w:hAnsi="Times New Roman"/>
                <w:i/>
                <w:sz w:val="20"/>
                <w:szCs w:val="20"/>
              </w:rPr>
            </w:pPr>
            <w:r w:rsidRPr="00D60728">
              <w:rPr>
                <w:rFonts w:ascii="Times New Roman" w:hAnsi="Times New Roman"/>
                <w:i/>
                <w:sz w:val="20"/>
                <w:szCs w:val="20"/>
              </w:rPr>
              <w:t xml:space="preserve">Veća iskoristivost financijskih sredstava dostupnih u Programu ruralnog razvoja RH namijenjenih provedbi praksi gospodarenja kojima se doprinosi zaštiti okoliša i očuvanju klime; </w:t>
            </w:r>
          </w:p>
          <w:p w:rsidR="002D5E59" w:rsidRPr="00D60728" w:rsidRDefault="002D5E59" w:rsidP="00BF7DCC">
            <w:pPr>
              <w:pStyle w:val="ListParagraph"/>
              <w:numPr>
                <w:ilvl w:val="0"/>
                <w:numId w:val="49"/>
              </w:numPr>
              <w:spacing w:line="240" w:lineRule="auto"/>
              <w:ind w:left="197" w:hanging="197"/>
              <w:rPr>
                <w:rFonts w:ascii="Times New Roman" w:hAnsi="Times New Roman"/>
                <w:i/>
                <w:sz w:val="20"/>
                <w:szCs w:val="20"/>
              </w:rPr>
            </w:pPr>
            <w:r w:rsidRPr="00D60728">
              <w:rPr>
                <w:rFonts w:ascii="Times New Roman" w:hAnsi="Times New Roman"/>
                <w:i/>
                <w:sz w:val="20"/>
                <w:szCs w:val="20"/>
              </w:rPr>
              <w:t>Povećanje interesa i veće zapošljavanje u sektoru poljoprivrede radi primjene novih, zelenih tehnologija u gospodarenju površinama pod pašnjacima</w:t>
            </w:r>
          </w:p>
          <w:p w:rsidR="002D5E59" w:rsidRPr="00D60728" w:rsidRDefault="002D5E59" w:rsidP="00BF7DCC">
            <w:pPr>
              <w:pStyle w:val="ListParagraph"/>
              <w:numPr>
                <w:ilvl w:val="0"/>
                <w:numId w:val="49"/>
              </w:numPr>
              <w:spacing w:line="240" w:lineRule="auto"/>
              <w:ind w:left="197" w:hanging="197"/>
              <w:rPr>
                <w:rFonts w:ascii="Times New Roman" w:hAnsi="Times New Roman"/>
                <w:i/>
                <w:sz w:val="20"/>
                <w:szCs w:val="20"/>
              </w:rPr>
            </w:pPr>
            <w:r w:rsidRPr="00D60728">
              <w:rPr>
                <w:rFonts w:ascii="Times New Roman" w:hAnsi="Times New Roman"/>
                <w:i/>
                <w:sz w:val="20"/>
                <w:szCs w:val="20"/>
              </w:rPr>
              <w:t>Povećanje dobiti i kvalitete života radi uključivanja u provedbu mjera Programa ruralnog razvoja kojima se doprinosi zaštiti okoliša i očuvanju klime  s obzirom da je visina poticaja ovisna o emisijskom faktoru (manji emisijski faktor, veći poticaji)</w:t>
            </w:r>
          </w:p>
          <w:p w:rsidR="002D5E59" w:rsidRPr="00D60728" w:rsidRDefault="002D5E59" w:rsidP="00BF7DCC">
            <w:pPr>
              <w:pStyle w:val="ListParagraph"/>
              <w:numPr>
                <w:ilvl w:val="0"/>
                <w:numId w:val="49"/>
              </w:numPr>
              <w:spacing w:line="240" w:lineRule="auto"/>
              <w:ind w:left="197" w:hanging="197"/>
              <w:rPr>
                <w:rFonts w:ascii="Times New Roman" w:hAnsi="Times New Roman"/>
                <w:i/>
                <w:iCs/>
                <w:sz w:val="20"/>
                <w:szCs w:val="20"/>
              </w:rPr>
            </w:pPr>
            <w:r w:rsidRPr="00D60728">
              <w:rPr>
                <w:rFonts w:ascii="Times New Roman" w:hAnsi="Times New Roman"/>
                <w:i/>
                <w:iCs/>
                <w:sz w:val="20"/>
                <w:szCs w:val="20"/>
              </w:rPr>
              <w:t>Izrada novih smjernica i definiranja mjera u poljoprivrednom sektoru za financiranje u Programu ruralnog razvitka RH u periodu nakon 2027. godine</w:t>
            </w:r>
          </w:p>
          <w:p w:rsidR="002D5E59" w:rsidRPr="00D60728" w:rsidRDefault="002D5E59" w:rsidP="00BF7DCC">
            <w:pPr>
              <w:pStyle w:val="ListParagraph"/>
              <w:numPr>
                <w:ilvl w:val="0"/>
                <w:numId w:val="49"/>
              </w:numPr>
              <w:spacing w:line="240" w:lineRule="auto"/>
              <w:ind w:left="197" w:hanging="197"/>
              <w:rPr>
                <w:rFonts w:ascii="Times New Roman" w:hAnsi="Times New Roman"/>
                <w:i/>
                <w:iCs/>
                <w:sz w:val="20"/>
                <w:szCs w:val="20"/>
              </w:rPr>
            </w:pPr>
            <w:r w:rsidRPr="00D60728">
              <w:rPr>
                <w:rFonts w:ascii="Times New Roman" w:hAnsi="Times New Roman"/>
                <w:i/>
                <w:iCs/>
                <w:sz w:val="20"/>
                <w:szCs w:val="20"/>
              </w:rPr>
              <w:t>Provedba stručnih i znanstvenih projekata u cilju potrebe prelaska na višu razinu IPCC metodologije (Tier 3).</w:t>
            </w:r>
          </w:p>
        </w:tc>
      </w:tr>
      <w:tr w:rsidR="002D5E59" w:rsidRPr="00D60728" w:rsidTr="00BA77D2">
        <w:trPr>
          <w:trHeight w:val="454"/>
        </w:trPr>
        <w:tc>
          <w:tcPr>
            <w:tcW w:w="1883"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263" w:type="dxa"/>
            <w:gridSpan w:val="2"/>
            <w:vAlign w:val="center"/>
          </w:tcPr>
          <w:p w:rsidR="002D5E59" w:rsidRPr="00D60728" w:rsidRDefault="002D5E59" w:rsidP="00BF7DCC">
            <w:pPr>
              <w:pStyle w:val="ListParagraph"/>
              <w:numPr>
                <w:ilvl w:val="0"/>
                <w:numId w:val="29"/>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 xml:space="preserve">Praćenje realizacije financijskih sredstava po pojedinoj godini dostupnih u Programu ruralnog razvoja dostupnih za operacije povezane s gospodarenjem površinama pašnjaka </w:t>
            </w:r>
          </w:p>
          <w:p w:rsidR="002D5E59" w:rsidRPr="00D60728" w:rsidRDefault="002D5E59" w:rsidP="00BF7DCC">
            <w:pPr>
              <w:pStyle w:val="ListParagraph"/>
              <w:numPr>
                <w:ilvl w:val="0"/>
                <w:numId w:val="29"/>
              </w:numPr>
              <w:spacing w:line="240" w:lineRule="auto"/>
              <w:ind w:left="234" w:hanging="234"/>
              <w:contextualSpacing w:val="0"/>
              <w:rPr>
                <w:rFonts w:ascii="Times New Roman" w:hAnsi="Times New Roman"/>
                <w:i/>
                <w:sz w:val="20"/>
                <w:szCs w:val="20"/>
              </w:rPr>
            </w:pPr>
            <w:r w:rsidRPr="00D60728">
              <w:rPr>
                <w:rFonts w:ascii="Times New Roman" w:hAnsi="Times New Roman"/>
                <w:i/>
                <w:iCs/>
                <w:sz w:val="20"/>
                <w:szCs w:val="20"/>
              </w:rPr>
              <w:t xml:space="preserve">Evidencija povećanja površina na kojima se provode operacije korisne za okoliš i klimu u ARKOD bazi </w:t>
            </w:r>
          </w:p>
        </w:tc>
      </w:tr>
      <w:tr w:rsidR="002D5E59" w:rsidRPr="00D60728" w:rsidTr="00BA77D2">
        <w:trPr>
          <w:trHeight w:val="454"/>
        </w:trPr>
        <w:tc>
          <w:tcPr>
            <w:tcW w:w="1883"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263"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inventaru emisija stakleničkih plinova na području RH (NIR); Izvješće o provedbi politika i mjera za smanjenje emisija stakleničkih plinova; Petogodišnje izvješće o praćenju provedbe NUS; Izvješće o provedbi odredbi Odluke 529/2013/EU; Izvješće o provedbi Plana ruralnog razvoja RH;</w:t>
            </w:r>
          </w:p>
        </w:tc>
      </w:tr>
      <w:tr w:rsidR="002D5E59" w:rsidRPr="00D60728" w:rsidTr="00BA77D2">
        <w:trPr>
          <w:trHeight w:val="454"/>
        </w:trPr>
        <w:tc>
          <w:tcPr>
            <w:tcW w:w="3684" w:type="dxa"/>
            <w:gridSpan w:val="2"/>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263" w:type="dxa"/>
            <w:gridSpan w:val="2"/>
            <w:vAlign w:val="center"/>
          </w:tcPr>
          <w:p w:rsidR="002D5E59" w:rsidRPr="00D60728" w:rsidRDefault="002D5E59" w:rsidP="00BF7DCC">
            <w:pPr>
              <w:spacing w:line="240" w:lineRule="auto"/>
              <w:rPr>
                <w:rFonts w:ascii="Times New Roman" w:hAnsi="Times New Roman"/>
                <w:i/>
                <w:iCs/>
                <w:color w:val="A6A6A6" w:themeColor="background1" w:themeShade="A6"/>
                <w:sz w:val="20"/>
                <w:szCs w:val="20"/>
              </w:rPr>
            </w:pPr>
            <w:r w:rsidRPr="00D60728">
              <w:rPr>
                <w:rFonts w:ascii="Times New Roman" w:hAnsi="Times New Roman"/>
                <w:i/>
                <w:iCs/>
                <w:sz w:val="20"/>
                <w:szCs w:val="20"/>
              </w:rPr>
              <w:t xml:space="preserve">Moguća djelomična preklapanja sa pojedinom mjerom/dijelom mjere definiranom u sektoru Poljoprivrede </w:t>
            </w:r>
          </w:p>
        </w:tc>
      </w:tr>
    </w:tbl>
    <w:p w:rsidR="002D5E59" w:rsidRPr="00D60728" w:rsidRDefault="002D5E59" w:rsidP="00BF7DCC">
      <w:pPr>
        <w:spacing w:line="240" w:lineRule="auto"/>
        <w:rPr>
          <w:sz w:val="20"/>
          <w:szCs w:val="20"/>
        </w:rPr>
      </w:pPr>
    </w:p>
    <w:p w:rsidR="002D5E59" w:rsidRPr="00D60728" w:rsidRDefault="002D5E59" w:rsidP="00BF7DCC">
      <w:pPr>
        <w:spacing w:line="240" w:lineRule="auto"/>
        <w:rPr>
          <w:sz w:val="20"/>
          <w:szCs w:val="20"/>
        </w:rPr>
      </w:pPr>
    </w:p>
    <w:p w:rsidR="00621458" w:rsidRPr="00D60728" w:rsidRDefault="00621458" w:rsidP="00BF7DCC">
      <w:pPr>
        <w:spacing w:line="240" w:lineRule="auto"/>
        <w:jc w:val="left"/>
        <w:rPr>
          <w:b/>
          <w:bCs/>
          <w:sz w:val="20"/>
          <w:szCs w:val="20"/>
        </w:rPr>
      </w:pPr>
      <w:r w:rsidRPr="00D60728">
        <w:rPr>
          <w:sz w:val="20"/>
          <w:szCs w:val="20"/>
        </w:rPr>
        <w:br w:type="page"/>
      </w:r>
    </w:p>
    <w:p w:rsidR="00621458" w:rsidRPr="00D60728" w:rsidRDefault="00621458" w:rsidP="00BF7DCC">
      <w:pPr>
        <w:pStyle w:val="Heading3"/>
        <w:spacing w:before="0" w:line="240" w:lineRule="auto"/>
        <w:rPr>
          <w:rFonts w:ascii="Times New Roman" w:hAnsi="Times New Roman" w:cs="Times New Roman"/>
        </w:rPr>
      </w:pPr>
      <w:bookmarkStart w:id="39" w:name="_Toc34147575"/>
      <w:r w:rsidRPr="00D60728">
        <w:rPr>
          <w:rFonts w:ascii="Times New Roman" w:hAnsi="Times New Roman" w:cs="Times New Roman"/>
        </w:rPr>
        <w:lastRenderedPageBreak/>
        <w:t>3.3.</w:t>
      </w:r>
      <w:r w:rsidR="0064574C" w:rsidRPr="00D60728">
        <w:rPr>
          <w:rFonts w:ascii="Times New Roman" w:hAnsi="Times New Roman" w:cs="Times New Roman"/>
        </w:rPr>
        <w:t>7</w:t>
      </w:r>
      <w:r w:rsidRPr="00D60728">
        <w:rPr>
          <w:rFonts w:ascii="Times New Roman" w:hAnsi="Times New Roman" w:cs="Times New Roman"/>
        </w:rPr>
        <w:t>.</w:t>
      </w:r>
      <w:r w:rsidRPr="00D60728">
        <w:rPr>
          <w:rFonts w:ascii="Times New Roman" w:hAnsi="Times New Roman" w:cs="Times New Roman"/>
        </w:rPr>
        <w:tab/>
        <w:t>Međusektorske mjere</w:t>
      </w:r>
      <w:bookmarkEnd w:id="39"/>
    </w:p>
    <w:p w:rsidR="00621458" w:rsidRPr="00D60728" w:rsidRDefault="00621458"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621458" w:rsidRPr="006D54B7" w:rsidTr="00D32A3F">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Povjerenstvo za međusektorsku koordinaciju za politike i mjere za ublaživanje i prilagodbu klimatskim promjenama</w:t>
            </w:r>
          </w:p>
        </w:tc>
      </w:tr>
      <w:tr w:rsidR="00621458" w:rsidRPr="00D60728" w:rsidTr="00D32A3F">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w:t>
            </w:r>
          </w:p>
        </w:tc>
      </w:tr>
      <w:tr w:rsidR="00621458" w:rsidRPr="00D60728" w:rsidTr="00D32A3F">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621458" w:rsidRPr="00D60728" w:rsidTr="00D32A3F">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621458" w:rsidRPr="00D60728" w:rsidTr="00D32A3F">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621458" w:rsidRPr="00D60728" w:rsidTr="00D32A3F">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auto"/>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 xml:space="preserve">Praćenje provedbe </w:t>
            </w:r>
            <w:r w:rsidR="00D32A3F" w:rsidRPr="00D60728">
              <w:rPr>
                <w:rFonts w:ascii="Times New Roman" w:hAnsi="Times New Roman"/>
                <w:i/>
                <w:iCs/>
                <w:sz w:val="20"/>
                <w:szCs w:val="20"/>
              </w:rPr>
              <w:t xml:space="preserve">Niskougljične strategije </w:t>
            </w:r>
            <w:r w:rsidRPr="00D60728">
              <w:rPr>
                <w:rFonts w:ascii="Times New Roman" w:hAnsi="Times New Roman"/>
                <w:i/>
                <w:iCs/>
                <w:sz w:val="20"/>
                <w:szCs w:val="20"/>
              </w:rPr>
              <w:t>i ostvarivanja postavljenih ciljeva, kako u pogledu smanjenja emisija stakleničkih plinova tako i ostalih ciljeva po dimenzijama.</w:t>
            </w:r>
          </w:p>
        </w:tc>
      </w:tr>
      <w:tr w:rsidR="00D32A3F" w:rsidRPr="00D60728" w:rsidTr="00D32A3F">
        <w:trPr>
          <w:trHeight w:val="3905"/>
        </w:trPr>
        <w:tc>
          <w:tcPr>
            <w:tcW w:w="1129" w:type="dxa"/>
            <w:vMerge/>
            <w:vAlign w:val="center"/>
          </w:tcPr>
          <w:p w:rsidR="00D32A3F" w:rsidRPr="00D60728" w:rsidRDefault="00D32A3F" w:rsidP="00BF7DCC">
            <w:pPr>
              <w:spacing w:line="240" w:lineRule="auto"/>
              <w:jc w:val="left"/>
              <w:rPr>
                <w:rFonts w:ascii="Times New Roman" w:hAnsi="Times New Roman"/>
                <w:sz w:val="20"/>
                <w:szCs w:val="20"/>
              </w:rPr>
            </w:pPr>
          </w:p>
        </w:tc>
        <w:tc>
          <w:tcPr>
            <w:tcW w:w="1418" w:type="dxa"/>
            <w:vAlign w:val="center"/>
          </w:tcPr>
          <w:p w:rsidR="00D32A3F" w:rsidRPr="00D60728" w:rsidRDefault="00D32A3F"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D32A3F" w:rsidRPr="00D60728" w:rsidRDefault="00D32A3F" w:rsidP="00BF7DCC">
            <w:pPr>
              <w:spacing w:line="240" w:lineRule="auto"/>
              <w:rPr>
                <w:rFonts w:ascii="Times New Roman" w:hAnsi="Times New Roman"/>
                <w:i/>
                <w:iCs/>
                <w:sz w:val="20"/>
                <w:szCs w:val="20"/>
              </w:rPr>
            </w:pPr>
            <w:r w:rsidRPr="00D60728">
              <w:rPr>
                <w:rFonts w:ascii="Times New Roman" w:hAnsi="Times New Roman"/>
                <w:i/>
                <w:iCs/>
                <w:sz w:val="20"/>
                <w:szCs w:val="20"/>
              </w:rPr>
              <w:t>Sukladno Zakonu o zaštiti zraka (NN 130/11, 47/14, 61/17, 118/18), Odlukom Vlade RH 2014. godine osnovano je Povjerenstvo za međusektorsku koordinaciju za politike i mjere za ublažavanje i prilagodbu klimatskim promjenama (NN 114/14, 9/18). Povjerenstvo daje preporuke Vladi Republike Hrvatske o sveukupnoj politici i mjerama za ublažavanje i prilagodbu klimatskim promjenama te osigurava političku podršku u provođenju politike i mjera za ublažavanje i prilagodbu klimatskim promjenama. Povjerenstvo također predlaže Vladi Republike Hrvatske donošenje akata strateškog planiranja i propisa koji se odnose na politiku i mjere za ublažavanje i prilagodbu klimatskim promjenama, daje prijedloge ciljeva, mjera i aktivnosti javnih politika i prati njihove učinke i ishode u provedbi te daje prijedloge i podršku u promicanju interdisciplinarnih i sinergijskih ciljeva, mjera i aktivnosti javnih politika. Sastav, poslove i način rada Povjerenstva određuje Vlada Republike Hrvatske na prijedlog ministarstva nadležnog za zaštitu okoliša.</w:t>
            </w:r>
          </w:p>
        </w:tc>
      </w:tr>
      <w:tr w:rsidR="009D51D9" w:rsidRPr="00D60728" w:rsidTr="009D51D9">
        <w:trPr>
          <w:trHeight w:val="828"/>
        </w:trPr>
        <w:tc>
          <w:tcPr>
            <w:tcW w:w="1129" w:type="dxa"/>
            <w:vMerge w:val="restart"/>
            <w:vAlign w:val="center"/>
            <w:hideMark/>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9D51D9" w:rsidRPr="00D60728" w:rsidRDefault="009D51D9"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r w:rsidR="00621458" w:rsidRPr="00D60728" w:rsidTr="00D32A3F">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D32A3F"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redovni rad državnih tijela </w:t>
            </w:r>
          </w:p>
        </w:tc>
      </w:tr>
      <w:tr w:rsidR="009D51D9" w:rsidRPr="00D60728" w:rsidTr="00975DF5">
        <w:trPr>
          <w:trHeight w:val="839"/>
        </w:trPr>
        <w:tc>
          <w:tcPr>
            <w:tcW w:w="1129" w:type="dxa"/>
            <w:vMerge w:val="restart"/>
            <w:vAlign w:val="center"/>
            <w:hideMark/>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9D51D9" w:rsidRPr="00D60728" w:rsidRDefault="009D51D9" w:rsidP="00BF7DCC">
            <w:pPr>
              <w:pStyle w:val="ListParagraph"/>
              <w:numPr>
                <w:ilvl w:val="0"/>
                <w:numId w:val="30"/>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Neizravni doprinos smanjenju emisije stakleničkih plinova</w:t>
            </w:r>
          </w:p>
        </w:tc>
      </w:tr>
      <w:tr w:rsidR="00D32A3F" w:rsidRPr="00D60728" w:rsidTr="00D32A3F">
        <w:trPr>
          <w:trHeight w:val="923"/>
        </w:trPr>
        <w:tc>
          <w:tcPr>
            <w:tcW w:w="1129" w:type="dxa"/>
            <w:vMerge/>
            <w:vAlign w:val="center"/>
            <w:hideMark/>
          </w:tcPr>
          <w:p w:rsidR="00D32A3F" w:rsidRPr="00D60728" w:rsidRDefault="00D32A3F" w:rsidP="00BF7DCC">
            <w:pPr>
              <w:spacing w:line="240" w:lineRule="auto"/>
              <w:jc w:val="left"/>
              <w:rPr>
                <w:rFonts w:ascii="Times New Roman" w:hAnsi="Times New Roman"/>
                <w:sz w:val="20"/>
                <w:szCs w:val="20"/>
              </w:rPr>
            </w:pPr>
          </w:p>
        </w:tc>
        <w:tc>
          <w:tcPr>
            <w:tcW w:w="1418" w:type="dxa"/>
            <w:vAlign w:val="center"/>
          </w:tcPr>
          <w:p w:rsidR="00D32A3F" w:rsidRPr="00D60728" w:rsidRDefault="00D32A3F"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D32A3F" w:rsidRPr="00D60728" w:rsidRDefault="00D32A3F" w:rsidP="00BF7DCC">
            <w:pPr>
              <w:pStyle w:val="ListParagraph"/>
              <w:numPr>
                <w:ilvl w:val="0"/>
                <w:numId w:val="31"/>
              </w:numPr>
              <w:spacing w:line="240" w:lineRule="auto"/>
              <w:ind w:left="279" w:hanging="283"/>
              <w:contextualSpacing w:val="0"/>
              <w:jc w:val="left"/>
              <w:rPr>
                <w:rFonts w:ascii="Times New Roman" w:hAnsi="Times New Roman"/>
                <w:i/>
                <w:sz w:val="20"/>
                <w:szCs w:val="20"/>
              </w:rPr>
            </w:pPr>
            <w:r w:rsidRPr="00D60728">
              <w:rPr>
                <w:rFonts w:ascii="Times New Roman" w:hAnsi="Times New Roman"/>
                <w:i/>
                <w:sz w:val="20"/>
                <w:szCs w:val="20"/>
              </w:rPr>
              <w:t>Broj sastanaka</w:t>
            </w:r>
          </w:p>
          <w:p w:rsidR="00D32A3F" w:rsidRPr="00D60728" w:rsidRDefault="00D32A3F" w:rsidP="00BF7DCC">
            <w:pPr>
              <w:pStyle w:val="ListParagraph"/>
              <w:numPr>
                <w:ilvl w:val="0"/>
                <w:numId w:val="31"/>
              </w:numPr>
              <w:spacing w:line="240" w:lineRule="auto"/>
              <w:ind w:left="279" w:hanging="283"/>
              <w:contextualSpacing w:val="0"/>
              <w:jc w:val="left"/>
              <w:rPr>
                <w:rFonts w:ascii="Times New Roman" w:hAnsi="Times New Roman"/>
                <w:i/>
                <w:sz w:val="20"/>
                <w:szCs w:val="20"/>
              </w:rPr>
            </w:pPr>
            <w:r w:rsidRPr="00D60728">
              <w:rPr>
                <w:rFonts w:ascii="Times New Roman" w:hAnsi="Times New Roman"/>
                <w:i/>
                <w:sz w:val="20"/>
                <w:szCs w:val="20"/>
              </w:rPr>
              <w:t>Broj i struktura sudionika</w:t>
            </w:r>
          </w:p>
        </w:tc>
      </w:tr>
    </w:tbl>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0B6D67" w:rsidRPr="00D60728" w:rsidRDefault="000B6D67" w:rsidP="00BF7DCC">
      <w:pPr>
        <w:spacing w:line="240" w:lineRule="auto"/>
        <w:rPr>
          <w:sz w:val="20"/>
          <w:szCs w:val="20"/>
        </w:rPr>
      </w:pPr>
      <w:r w:rsidRPr="00D60728">
        <w:rPr>
          <w:sz w:val="20"/>
          <w:szCs w:val="20"/>
        </w:rPr>
        <w:br w:type="page"/>
      </w:r>
    </w:p>
    <w:tbl>
      <w:tblPr>
        <w:tblStyle w:val="TableGrid"/>
        <w:tblW w:w="9175" w:type="dxa"/>
        <w:tblLayout w:type="fixed"/>
        <w:tblLook w:val="04A0" w:firstRow="1" w:lastRow="0" w:firstColumn="1" w:lastColumn="0" w:noHBand="0" w:noVBand="1"/>
      </w:tblPr>
      <w:tblGrid>
        <w:gridCol w:w="1129"/>
        <w:gridCol w:w="1418"/>
        <w:gridCol w:w="6628"/>
      </w:tblGrid>
      <w:tr w:rsidR="00621458" w:rsidRPr="006D54B7" w:rsidTr="000B6D67">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lastRenderedPageBreak/>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0013EE">
              <w:rPr>
                <w:rFonts w:ascii="Times New Roman" w:hAnsi="Times New Roman"/>
                <w:b/>
                <w:i/>
                <w:iCs/>
                <w:highlight w:val="yellow"/>
              </w:rPr>
              <w:t>Poticanje osnivanja regionalnih energetskih i klimatskih agencija i izgradnja kapaciteta</w:t>
            </w:r>
          </w:p>
        </w:tc>
      </w:tr>
      <w:tr w:rsidR="00621458" w:rsidRPr="00D60728" w:rsidTr="000B6D67">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MCC-2</w:t>
            </w:r>
          </w:p>
        </w:tc>
      </w:tr>
      <w:tr w:rsidR="00621458" w:rsidRPr="00D60728" w:rsidTr="000B6D67">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Organizacijska i financijska mjera</w:t>
            </w:r>
          </w:p>
        </w:tc>
      </w:tr>
      <w:tr w:rsidR="00621458" w:rsidRPr="00D60728" w:rsidTr="000B6D6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D3227B"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r w:rsidR="00621458" w:rsidRPr="00D60728">
              <w:rPr>
                <w:rFonts w:ascii="Times New Roman" w:hAnsi="Times New Roman"/>
                <w:i/>
                <w:iCs/>
                <w:sz w:val="20"/>
                <w:szCs w:val="20"/>
              </w:rPr>
              <w:t>.</w:t>
            </w:r>
          </w:p>
        </w:tc>
      </w:tr>
      <w:tr w:rsidR="00621458" w:rsidRPr="00D60728" w:rsidTr="000B6D6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D3227B"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r w:rsidR="00621458" w:rsidRPr="00D60728">
              <w:rPr>
                <w:rFonts w:ascii="Times New Roman" w:hAnsi="Times New Roman"/>
                <w:i/>
                <w:iCs/>
                <w:sz w:val="20"/>
                <w:szCs w:val="20"/>
              </w:rPr>
              <w:t>.</w:t>
            </w:r>
          </w:p>
        </w:tc>
      </w:tr>
      <w:tr w:rsidR="00621458" w:rsidRPr="00D60728" w:rsidTr="000B6D6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Poticanje uspostave i osnivanja regionalnih energetskih agencija za područja Republike Hrvatske na kojima one ne djeluju te preoblikovanje postojećih energetskih agencija u energetske i klimatske agencije.</w:t>
            </w:r>
          </w:p>
        </w:tc>
      </w:tr>
      <w:tr w:rsidR="00070AAB" w:rsidRPr="00D60728" w:rsidTr="000B6D67">
        <w:trPr>
          <w:trHeight w:val="1104"/>
        </w:trPr>
        <w:tc>
          <w:tcPr>
            <w:tcW w:w="1129" w:type="dxa"/>
            <w:vMerge/>
            <w:vAlign w:val="center"/>
          </w:tcPr>
          <w:p w:rsidR="00070AAB" w:rsidRPr="00D60728" w:rsidRDefault="00070AAB" w:rsidP="00BF7DCC">
            <w:pPr>
              <w:spacing w:line="240" w:lineRule="auto"/>
              <w:jc w:val="left"/>
              <w:rPr>
                <w:rFonts w:ascii="Times New Roman" w:hAnsi="Times New Roman"/>
                <w:sz w:val="20"/>
                <w:szCs w:val="20"/>
              </w:rPr>
            </w:pPr>
          </w:p>
        </w:tc>
        <w:tc>
          <w:tcPr>
            <w:tcW w:w="1418" w:type="dxa"/>
            <w:vAlign w:val="center"/>
          </w:tcPr>
          <w:p w:rsidR="00070AAB" w:rsidRPr="00D60728" w:rsidRDefault="00070AAB"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070AAB" w:rsidRPr="00D60728" w:rsidRDefault="00070AAB" w:rsidP="00BF7DCC">
            <w:pPr>
              <w:spacing w:line="240" w:lineRule="auto"/>
              <w:rPr>
                <w:rFonts w:ascii="Times New Roman" w:hAnsi="Times New Roman"/>
                <w:i/>
                <w:iCs/>
                <w:sz w:val="20"/>
                <w:szCs w:val="20"/>
              </w:rPr>
            </w:pPr>
            <w:r w:rsidRPr="00D60728">
              <w:rPr>
                <w:rFonts w:ascii="Times New Roman" w:hAnsi="Times New Roman"/>
                <w:i/>
                <w:iCs/>
                <w:sz w:val="20"/>
                <w:szCs w:val="20"/>
              </w:rPr>
              <w:t>Regionalne energetske agencije trenutno ne djeluju na području čitave RH, a potrebna je izgradnja kapaciteta postojećih regionalnih energetskih agencija na polju klimatskih promjena i njihova transformacija u energetske i klimatske agencije.</w:t>
            </w:r>
          </w:p>
        </w:tc>
      </w:tr>
      <w:tr w:rsidR="009D51D9" w:rsidRPr="00D60728" w:rsidTr="009D51D9">
        <w:trPr>
          <w:trHeight w:val="680"/>
        </w:trPr>
        <w:tc>
          <w:tcPr>
            <w:tcW w:w="1129" w:type="dxa"/>
            <w:vMerge w:val="restart"/>
            <w:vAlign w:val="center"/>
            <w:hideMark/>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9D51D9" w:rsidRPr="00D60728" w:rsidRDefault="009D51D9"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r w:rsidR="00621458" w:rsidRPr="00D60728" w:rsidTr="000B6D6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oko 1 milijun kn godišnje u razdoblju od 3 godine za osnivanje jedne regionalne energetske i klimatske agencije</w:t>
            </w:r>
          </w:p>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EU sredstva, sredstva jedinica regionalne/lokalne samouprave </w:t>
            </w:r>
          </w:p>
        </w:tc>
      </w:tr>
      <w:tr w:rsidR="009D51D9" w:rsidRPr="00D60728" w:rsidTr="009D51D9">
        <w:trPr>
          <w:trHeight w:val="990"/>
        </w:trPr>
        <w:tc>
          <w:tcPr>
            <w:tcW w:w="1129" w:type="dxa"/>
            <w:vMerge w:val="restart"/>
            <w:vAlign w:val="center"/>
            <w:hideMark/>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9D51D9" w:rsidRPr="00D60728" w:rsidRDefault="009D51D9"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Osnivanje energetske i klimatske agencije i transformacija postojećih regionalnih energetskih agencija u regionalne energetske i klimatske agencije</w:t>
            </w:r>
          </w:p>
        </w:tc>
      </w:tr>
      <w:tr w:rsidR="00070AAB" w:rsidRPr="00D60728" w:rsidTr="000B6D67">
        <w:trPr>
          <w:trHeight w:val="1120"/>
        </w:trPr>
        <w:tc>
          <w:tcPr>
            <w:tcW w:w="1129" w:type="dxa"/>
            <w:vMerge/>
            <w:vAlign w:val="center"/>
            <w:hideMark/>
          </w:tcPr>
          <w:p w:rsidR="00070AAB" w:rsidRPr="00D60728" w:rsidRDefault="00070AAB" w:rsidP="00BF7DCC">
            <w:pPr>
              <w:spacing w:line="240" w:lineRule="auto"/>
              <w:jc w:val="left"/>
              <w:rPr>
                <w:rFonts w:ascii="Times New Roman" w:hAnsi="Times New Roman"/>
                <w:sz w:val="20"/>
                <w:szCs w:val="20"/>
              </w:rPr>
            </w:pPr>
          </w:p>
        </w:tc>
        <w:tc>
          <w:tcPr>
            <w:tcW w:w="1418" w:type="dxa"/>
            <w:vAlign w:val="center"/>
          </w:tcPr>
          <w:p w:rsidR="00070AAB" w:rsidRPr="00D60728" w:rsidRDefault="00070AAB"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070AAB" w:rsidRPr="00D60728" w:rsidRDefault="00070AAB"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Broj novoosnovanih energetskih i klimatskih agencija</w:t>
            </w:r>
          </w:p>
          <w:p w:rsidR="00070AAB" w:rsidRPr="00D60728" w:rsidRDefault="00070AAB"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Broj preoblikovanih agencija</w:t>
            </w:r>
          </w:p>
        </w:tc>
      </w:tr>
    </w:tbl>
    <w:p w:rsidR="00621458" w:rsidRPr="00D60728" w:rsidRDefault="00621458" w:rsidP="00BF7DCC">
      <w:pPr>
        <w:spacing w:line="240" w:lineRule="auto"/>
        <w:rPr>
          <w:sz w:val="20"/>
          <w:szCs w:val="20"/>
        </w:rPr>
      </w:pPr>
    </w:p>
    <w:p w:rsidR="00070AAB" w:rsidRPr="00D60728" w:rsidRDefault="00070AAB"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621458" w:rsidRPr="006D54B7" w:rsidTr="000B6D67">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Promicanje korištenja inovativnih informacijskih i komunikacijskih tehnologija (IKT) radi smanjenja emisija stakleničkih plinova</w:t>
            </w:r>
          </w:p>
        </w:tc>
      </w:tr>
      <w:tr w:rsidR="00621458" w:rsidRPr="00D60728" w:rsidTr="000B6D67">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MCC-3</w:t>
            </w:r>
          </w:p>
        </w:tc>
      </w:tr>
      <w:tr w:rsidR="00621458" w:rsidRPr="00D60728" w:rsidTr="000B6D67">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mjera</w:t>
            </w:r>
          </w:p>
        </w:tc>
      </w:tr>
      <w:tr w:rsidR="00621458" w:rsidRPr="00D60728" w:rsidTr="000B6D6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8A7047" w:rsidRPr="00D60728">
              <w:rPr>
                <w:rFonts w:ascii="Times New Roman" w:hAnsi="Times New Roman"/>
                <w:i/>
                <w:iCs/>
                <w:sz w:val="20"/>
                <w:szCs w:val="20"/>
              </w:rPr>
              <w:t>0</w:t>
            </w:r>
            <w:r w:rsidRPr="00D60728">
              <w:rPr>
                <w:rFonts w:ascii="Times New Roman" w:hAnsi="Times New Roman"/>
                <w:i/>
                <w:iCs/>
                <w:sz w:val="20"/>
                <w:szCs w:val="20"/>
              </w:rPr>
              <w:t>.</w:t>
            </w:r>
          </w:p>
        </w:tc>
      </w:tr>
      <w:tr w:rsidR="00621458" w:rsidRPr="00D60728" w:rsidTr="000B6D6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8A7047" w:rsidRPr="00D60728">
              <w:rPr>
                <w:rFonts w:ascii="Times New Roman" w:hAnsi="Times New Roman"/>
                <w:i/>
                <w:iCs/>
                <w:sz w:val="20"/>
                <w:szCs w:val="20"/>
              </w:rPr>
              <w:t>24</w:t>
            </w:r>
            <w:r w:rsidRPr="00D60728">
              <w:rPr>
                <w:rFonts w:ascii="Times New Roman" w:hAnsi="Times New Roman"/>
                <w:i/>
                <w:iCs/>
                <w:sz w:val="20"/>
                <w:szCs w:val="20"/>
              </w:rPr>
              <w:t>.</w:t>
            </w:r>
          </w:p>
        </w:tc>
      </w:tr>
      <w:tr w:rsidR="00621458" w:rsidRPr="00D60728" w:rsidTr="000B6D6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Povećati korištenje inovativnih IKT i praćenje stvarnih ušteda energije te smanjenj</w:t>
            </w:r>
            <w:r w:rsidR="008A7047" w:rsidRPr="00D60728">
              <w:rPr>
                <w:rFonts w:ascii="Times New Roman" w:hAnsi="Times New Roman"/>
                <w:i/>
                <w:iCs/>
                <w:sz w:val="20"/>
                <w:szCs w:val="20"/>
              </w:rPr>
              <w:t>e</w:t>
            </w:r>
            <w:r w:rsidRPr="00D60728">
              <w:rPr>
                <w:rFonts w:ascii="Times New Roman" w:hAnsi="Times New Roman"/>
                <w:i/>
                <w:iCs/>
                <w:sz w:val="20"/>
                <w:szCs w:val="20"/>
              </w:rPr>
              <w:t xml:space="preserve"> emisija stakleničkih plinova</w:t>
            </w:r>
          </w:p>
        </w:tc>
      </w:tr>
      <w:tr w:rsidR="008A7047" w:rsidRPr="00D60728" w:rsidTr="000B6D67">
        <w:trPr>
          <w:trHeight w:val="1526"/>
        </w:trPr>
        <w:tc>
          <w:tcPr>
            <w:tcW w:w="1129" w:type="dxa"/>
            <w:vMerge/>
            <w:vAlign w:val="center"/>
          </w:tcPr>
          <w:p w:rsidR="008A7047" w:rsidRPr="00D60728" w:rsidRDefault="008A7047" w:rsidP="00BF7DCC">
            <w:pPr>
              <w:spacing w:line="240" w:lineRule="auto"/>
              <w:jc w:val="left"/>
              <w:rPr>
                <w:rFonts w:ascii="Times New Roman" w:hAnsi="Times New Roman"/>
                <w:sz w:val="20"/>
                <w:szCs w:val="20"/>
              </w:rPr>
            </w:pPr>
          </w:p>
        </w:tc>
        <w:tc>
          <w:tcPr>
            <w:tcW w:w="1418" w:type="dxa"/>
            <w:vAlign w:val="center"/>
          </w:tcPr>
          <w:p w:rsidR="008A7047" w:rsidRPr="00D60728" w:rsidRDefault="008A7047"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8A7047" w:rsidRPr="00D60728" w:rsidRDefault="008A7047" w:rsidP="00BF7DCC">
            <w:pPr>
              <w:spacing w:line="240" w:lineRule="auto"/>
              <w:rPr>
                <w:rFonts w:ascii="Times New Roman" w:hAnsi="Times New Roman"/>
                <w:i/>
                <w:iCs/>
                <w:sz w:val="20"/>
                <w:szCs w:val="20"/>
              </w:rPr>
            </w:pPr>
            <w:r w:rsidRPr="00D60728">
              <w:rPr>
                <w:rFonts w:ascii="Times New Roman" w:hAnsi="Times New Roman"/>
                <w:i/>
                <w:iCs/>
                <w:sz w:val="20"/>
                <w:szCs w:val="20"/>
              </w:rPr>
              <w:t>Inovativne informacijske i komunikacijske tehnologije imaju sve važniju ulogu u smanjenju emisija stakleničkih plinova i povećanju energetske učinkovitosti. Intenziviranjem njihovog korištenja u javnoj upravi, uslugama i proizvodnim procesima povećat će se produktivnost i učinkovitost rada te istovremeno smanjiti potrošnja energije i posljedično emisije stakleničkih plinova.</w:t>
            </w:r>
          </w:p>
        </w:tc>
      </w:tr>
      <w:tr w:rsidR="009D51D9" w:rsidRPr="00D60728" w:rsidTr="009D51D9">
        <w:trPr>
          <w:trHeight w:val="980"/>
        </w:trPr>
        <w:tc>
          <w:tcPr>
            <w:tcW w:w="1129" w:type="dxa"/>
            <w:vMerge w:val="restart"/>
            <w:vAlign w:val="center"/>
            <w:hideMark/>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lastRenderedPageBreak/>
              <w:t>Način provedbe</w:t>
            </w:r>
          </w:p>
        </w:tc>
        <w:tc>
          <w:tcPr>
            <w:tcW w:w="1418" w:type="dxa"/>
            <w:vAlign w:val="center"/>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9D51D9" w:rsidRPr="00D60728" w:rsidRDefault="009D51D9" w:rsidP="00BF7DCC">
            <w:pPr>
              <w:pStyle w:val="ListParagraph"/>
              <w:spacing w:line="240" w:lineRule="auto"/>
              <w:ind w:left="0"/>
              <w:contextualSpacing w:val="0"/>
              <w:rPr>
                <w:rFonts w:ascii="Times New Roman" w:hAnsi="Times New Roman"/>
                <w:i/>
                <w:sz w:val="20"/>
                <w:szCs w:val="20"/>
              </w:rPr>
            </w:pPr>
            <w:r w:rsidRPr="00D60728">
              <w:rPr>
                <w:rFonts w:ascii="Times New Roman" w:hAnsi="Times New Roman"/>
                <w:i/>
                <w:sz w:val="20"/>
                <w:szCs w:val="20"/>
              </w:rPr>
              <w:t>MZOE</w:t>
            </w:r>
          </w:p>
          <w:p w:rsidR="009D51D9" w:rsidRPr="00D60728" w:rsidRDefault="009D51D9" w:rsidP="00BF7DCC">
            <w:pPr>
              <w:pStyle w:val="ListParagraph"/>
              <w:spacing w:line="240" w:lineRule="auto"/>
              <w:ind w:left="0"/>
              <w:contextualSpacing w:val="0"/>
              <w:rPr>
                <w:rFonts w:ascii="Times New Roman" w:hAnsi="Times New Roman"/>
                <w:i/>
                <w:sz w:val="20"/>
                <w:szCs w:val="20"/>
              </w:rPr>
            </w:pPr>
            <w:r w:rsidRPr="00D60728">
              <w:rPr>
                <w:rFonts w:ascii="Times New Roman" w:hAnsi="Times New Roman"/>
                <w:i/>
                <w:sz w:val="20"/>
                <w:szCs w:val="20"/>
              </w:rPr>
              <w:t>MGIPU</w:t>
            </w:r>
          </w:p>
          <w:p w:rsidR="009D51D9" w:rsidRPr="00D60728" w:rsidRDefault="009D51D9" w:rsidP="00BF7DCC">
            <w:pPr>
              <w:pStyle w:val="ListParagraph"/>
              <w:spacing w:line="240" w:lineRule="auto"/>
              <w:ind w:left="0"/>
              <w:contextualSpacing w:val="0"/>
              <w:rPr>
                <w:rFonts w:ascii="Times New Roman" w:hAnsi="Times New Roman"/>
                <w:i/>
                <w:sz w:val="20"/>
                <w:szCs w:val="20"/>
              </w:rPr>
            </w:pPr>
            <w:r w:rsidRPr="00D60728">
              <w:rPr>
                <w:rFonts w:ascii="Times New Roman" w:hAnsi="Times New Roman"/>
                <w:i/>
                <w:sz w:val="20"/>
                <w:szCs w:val="20"/>
              </w:rPr>
              <w:t>MINGO</w:t>
            </w:r>
          </w:p>
        </w:tc>
      </w:tr>
      <w:tr w:rsidR="00621458" w:rsidRPr="00D60728" w:rsidTr="000B6D6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ListParagraph"/>
              <w:spacing w:line="240" w:lineRule="auto"/>
              <w:ind w:left="317"/>
              <w:contextualSpacing w:val="0"/>
              <w:jc w:val="left"/>
              <w:rPr>
                <w:rFonts w:ascii="Times New Roman" w:hAnsi="Times New Roman"/>
                <w:i/>
                <w:iCs/>
                <w:sz w:val="20"/>
                <w:szCs w:val="20"/>
              </w:rPr>
            </w:pPr>
          </w:p>
        </w:tc>
      </w:tr>
      <w:tr w:rsidR="009D51D9" w:rsidRPr="00D60728" w:rsidTr="009D51D9">
        <w:trPr>
          <w:trHeight w:val="712"/>
        </w:trPr>
        <w:tc>
          <w:tcPr>
            <w:tcW w:w="1129" w:type="dxa"/>
            <w:vMerge w:val="restart"/>
            <w:vAlign w:val="center"/>
            <w:hideMark/>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9D51D9" w:rsidRPr="00D60728" w:rsidRDefault="009D51D9"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Praćenje i verifikacija ušteda energije </w:t>
            </w:r>
          </w:p>
          <w:p w:rsidR="009D51D9" w:rsidRPr="00D60728" w:rsidRDefault="009D51D9"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emisija stakleničkih plinova</w:t>
            </w:r>
          </w:p>
        </w:tc>
      </w:tr>
      <w:tr w:rsidR="008A7047" w:rsidRPr="00D60728" w:rsidTr="000B6D67">
        <w:trPr>
          <w:trHeight w:val="686"/>
        </w:trPr>
        <w:tc>
          <w:tcPr>
            <w:tcW w:w="1129" w:type="dxa"/>
            <w:vMerge/>
            <w:vAlign w:val="center"/>
            <w:hideMark/>
          </w:tcPr>
          <w:p w:rsidR="008A7047" w:rsidRPr="00D60728" w:rsidRDefault="008A7047" w:rsidP="00BF7DCC">
            <w:pPr>
              <w:spacing w:line="240" w:lineRule="auto"/>
              <w:jc w:val="left"/>
              <w:rPr>
                <w:rFonts w:ascii="Times New Roman" w:hAnsi="Times New Roman"/>
                <w:sz w:val="20"/>
                <w:szCs w:val="20"/>
              </w:rPr>
            </w:pPr>
          </w:p>
        </w:tc>
        <w:tc>
          <w:tcPr>
            <w:tcW w:w="1418" w:type="dxa"/>
            <w:vAlign w:val="center"/>
          </w:tcPr>
          <w:p w:rsidR="008A7047" w:rsidRPr="00D60728" w:rsidRDefault="008A7047"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8A7047" w:rsidRPr="00D60728" w:rsidRDefault="008A7047" w:rsidP="00BF7DCC">
            <w:pPr>
              <w:pStyle w:val="ListParagraph"/>
              <w:spacing w:line="240" w:lineRule="auto"/>
              <w:ind w:left="279"/>
              <w:contextualSpacing w:val="0"/>
              <w:jc w:val="left"/>
              <w:rPr>
                <w:rFonts w:ascii="Times New Roman" w:hAnsi="Times New Roman"/>
                <w:i/>
                <w:sz w:val="20"/>
                <w:szCs w:val="20"/>
              </w:rPr>
            </w:pPr>
          </w:p>
        </w:tc>
      </w:tr>
    </w:tbl>
    <w:p w:rsidR="00C566EC" w:rsidRDefault="00C566EC" w:rsidP="00BF7DCC">
      <w:pPr>
        <w:spacing w:line="240" w:lineRule="auto"/>
        <w:rPr>
          <w:sz w:val="20"/>
          <w:szCs w:val="20"/>
        </w:rPr>
      </w:pPr>
    </w:p>
    <w:p w:rsidR="006D54B7" w:rsidRPr="00D60728" w:rsidRDefault="006D54B7" w:rsidP="00BF7DCC">
      <w:pPr>
        <w:spacing w:line="240" w:lineRule="auto"/>
        <w:rPr>
          <w:sz w:val="20"/>
          <w:szCs w:val="20"/>
        </w:rPr>
      </w:pPr>
    </w:p>
    <w:tbl>
      <w:tblPr>
        <w:tblStyle w:val="TableGrid"/>
        <w:tblW w:w="9096" w:type="dxa"/>
        <w:tblInd w:w="113" w:type="dxa"/>
        <w:tblLayout w:type="fixed"/>
        <w:tblLook w:val="04A0" w:firstRow="1" w:lastRow="0" w:firstColumn="1" w:lastColumn="0" w:noHBand="0" w:noVBand="1"/>
      </w:tblPr>
      <w:tblGrid>
        <w:gridCol w:w="1129"/>
        <w:gridCol w:w="1418"/>
        <w:gridCol w:w="6549"/>
      </w:tblGrid>
      <w:tr w:rsidR="00621458" w:rsidRPr="006D54B7" w:rsidTr="006D54B7">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549"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Europski sustav trgovanja emisijskim jedinicama</w:t>
            </w:r>
          </w:p>
        </w:tc>
      </w:tr>
      <w:tr w:rsidR="00621458" w:rsidRPr="00D60728" w:rsidTr="006D54B7">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549"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MCC-4</w:t>
            </w:r>
          </w:p>
        </w:tc>
      </w:tr>
      <w:tr w:rsidR="00621458" w:rsidRPr="00D60728" w:rsidTr="006D54B7">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549"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621458" w:rsidRPr="00D60728" w:rsidTr="006D54B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549"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C566EC" w:rsidRPr="00D60728">
              <w:rPr>
                <w:rFonts w:ascii="Times New Roman" w:hAnsi="Times New Roman"/>
                <w:i/>
                <w:iCs/>
                <w:sz w:val="20"/>
                <w:szCs w:val="20"/>
              </w:rPr>
              <w:t>0</w:t>
            </w:r>
            <w:r w:rsidRPr="00D60728">
              <w:rPr>
                <w:rFonts w:ascii="Times New Roman" w:hAnsi="Times New Roman"/>
                <w:i/>
                <w:iCs/>
                <w:sz w:val="20"/>
                <w:szCs w:val="20"/>
              </w:rPr>
              <w:t>.</w:t>
            </w:r>
          </w:p>
        </w:tc>
      </w:tr>
      <w:tr w:rsidR="00621458" w:rsidRPr="00D60728" w:rsidTr="006D54B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549"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C566EC" w:rsidRPr="00D60728">
              <w:rPr>
                <w:rFonts w:ascii="Times New Roman" w:hAnsi="Times New Roman"/>
                <w:i/>
                <w:iCs/>
                <w:sz w:val="20"/>
                <w:szCs w:val="20"/>
              </w:rPr>
              <w:t>24</w:t>
            </w:r>
            <w:r w:rsidRPr="00D60728">
              <w:rPr>
                <w:rFonts w:ascii="Times New Roman" w:hAnsi="Times New Roman"/>
                <w:i/>
                <w:iCs/>
                <w:sz w:val="20"/>
                <w:szCs w:val="20"/>
              </w:rPr>
              <w:t>.</w:t>
            </w:r>
          </w:p>
        </w:tc>
      </w:tr>
      <w:tr w:rsidR="00621458" w:rsidRPr="00D60728" w:rsidTr="006D54B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549" w:type="dxa"/>
            <w:shd w:val="clear" w:color="auto" w:fill="auto"/>
            <w:vAlign w:val="center"/>
          </w:tcPr>
          <w:p w:rsidR="00621458" w:rsidRPr="00D60728" w:rsidRDefault="00C566EC"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Smanjenje emisija stakleničkih plinova</w:t>
            </w:r>
          </w:p>
        </w:tc>
      </w:tr>
      <w:tr w:rsidR="00C566EC" w:rsidRPr="00D60728" w:rsidTr="006D54B7">
        <w:trPr>
          <w:trHeight w:val="6218"/>
        </w:trPr>
        <w:tc>
          <w:tcPr>
            <w:tcW w:w="1129" w:type="dxa"/>
            <w:vMerge/>
            <w:vAlign w:val="center"/>
          </w:tcPr>
          <w:p w:rsidR="00C566EC" w:rsidRPr="00D60728" w:rsidRDefault="00C566EC" w:rsidP="00BF7DCC">
            <w:pPr>
              <w:spacing w:line="240" w:lineRule="auto"/>
              <w:jc w:val="left"/>
              <w:rPr>
                <w:rFonts w:ascii="Times New Roman" w:hAnsi="Times New Roman"/>
                <w:sz w:val="20"/>
                <w:szCs w:val="20"/>
              </w:rPr>
            </w:pPr>
          </w:p>
        </w:tc>
        <w:tc>
          <w:tcPr>
            <w:tcW w:w="1418" w:type="dxa"/>
            <w:vAlign w:val="center"/>
          </w:tcPr>
          <w:p w:rsidR="00C566EC" w:rsidRPr="00D60728" w:rsidRDefault="00C566EC"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549" w:type="dxa"/>
            <w:vAlign w:val="center"/>
          </w:tcPr>
          <w:p w:rsidR="00C566EC" w:rsidRPr="00D60728" w:rsidRDefault="00C566EC" w:rsidP="00BF7DCC">
            <w:pPr>
              <w:spacing w:line="240" w:lineRule="auto"/>
              <w:rPr>
                <w:rFonts w:ascii="Times New Roman" w:hAnsi="Times New Roman"/>
                <w:i/>
                <w:iCs/>
                <w:sz w:val="20"/>
                <w:szCs w:val="20"/>
              </w:rPr>
            </w:pPr>
            <w:r w:rsidRPr="00D60728">
              <w:rPr>
                <w:rFonts w:ascii="Times New Roman" w:hAnsi="Times New Roman"/>
                <w:i/>
                <w:iCs/>
                <w:sz w:val="20"/>
                <w:szCs w:val="20"/>
              </w:rPr>
              <w:t>Europski sustav trgovanja emisijskim jedinicama (EU ETS) uključuje sve aktivnosti navedene u Prilogu I. Uredbe o načinu trgovanja emisijskim jedinicama stakleničkih plinova (NN 69/12, 154/14), a za smanjenje emisija stakleničkih plinova odgovorni su operateri postrojenja uključeni u sustav. Kroz ravnomjernu raspodjelu emisijskih jedinica obveze za smanjenjem podijeljene su sudionicima sustava iz svih država članica s ciljem doprinosa smanjenju emisija za najmanje 21 % do 2020. godine, odnosno za najmanje 43 % do 2030. godine, u odnosu na razinu iz 2005. godine. Time se može zaključiti kako je smanjenje emisija iz aktivnosti unutar EU ETS-a regulirano na razini EU. Od 1.1.2013. godine, Republika Hrvatska je integrirana u EU ETS. Operateri postrojenja u RH, sukladno pravilima EU ETS-a, dobili su dozvole za emisije stakleničkih plinova i uspostavili režim praćenja emisija i dostavljanja verificiranih izvješća nadležnom tijelu. Staklenički plinovi obuhvaćeni EU ETS-om su: ugljikov dioksid (CO2) za sve aktivnosti i dodatno za određene aktivnosti, dušikov oksid (N2O) i perfluorougljik (PFC). Dodatna aktivnost uključena u EU ETS je zrakoplovstvo. Operateri zrakoplova u Republici Hrvatskoj uključeni su u EU ETS od 2012. godine za letove u EU i od 2014. za letove unutar RH. Svi operateri, osim proizvođača električne energije, za prodaju trećim stranama, podnijeli su svoje zahtjeve za izdavanje besplatnih emisijskih jedinica. Besplatne jedinice se besplatno distribuiraju postrojenjima koja su izložena riziku od istjecanja ugljika u treće zemlje, na osnovi mjerila utvrđenih u skladu s referentnom vrijednosti za 10% najučinkovitijih postrojenja u istom sektoru. Operateri, koji neće imati dovoljan broj jedinica za pokrivanje njihovih emisija stakleničkih plinova, imaju mogućnost kupnje emisijskih jedinica putem dražbi ili na sekundarnom ETS tržištu.</w:t>
            </w:r>
          </w:p>
        </w:tc>
      </w:tr>
      <w:tr w:rsidR="00621458" w:rsidRPr="00D60728" w:rsidTr="006D54B7">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549" w:type="dxa"/>
            <w:vAlign w:val="center"/>
          </w:tcPr>
          <w:p w:rsidR="00621458" w:rsidRPr="00D60728" w:rsidRDefault="00621458" w:rsidP="00BF7DCC">
            <w:pPr>
              <w:pStyle w:val="ListParagraph"/>
              <w:numPr>
                <w:ilvl w:val="0"/>
                <w:numId w:val="4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 xml:space="preserve">pripremne aktivnosti za 4. fazu trgovanja emisijskim jedinicama stakleničkih plinova (2021.-2030.) u okviru EU ETS-a, sukladno Direktivi (EU) </w:t>
            </w:r>
            <w:r w:rsidRPr="00D60728">
              <w:rPr>
                <w:rFonts w:ascii="Times New Roman" w:hAnsi="Times New Roman"/>
                <w:i/>
                <w:sz w:val="20"/>
                <w:szCs w:val="20"/>
              </w:rPr>
              <w:lastRenderedPageBreak/>
              <w:t>2018/410 koja dopunjava direktivu 2003/87/EZ, a u cilju primjene troškovno učinkovitog smanjenja emisija i niskougljičnih investicija</w:t>
            </w:r>
          </w:p>
          <w:p w:rsidR="00621458" w:rsidRPr="00D60728" w:rsidRDefault="00621458" w:rsidP="00BF7DCC">
            <w:pPr>
              <w:pStyle w:val="ListParagraph"/>
              <w:numPr>
                <w:ilvl w:val="0"/>
                <w:numId w:val="4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nastavak aktivnosti sudionika EU ETS-a (operateri postrojenja i operatori zrakoplova): ažuriranje planova praćenja emisija stakleničkih plinova, izrada izvješća o emisijama stakleničkih plinova, izrada verifikacijskog izvješća, izrada izvješća o poboljšanjima (ako je potrebna), trgovanje emisijskim jedinicama na primarnom i sekundarnom tržištu, predaja emisijskih jedinica i dr.</w:t>
            </w:r>
          </w:p>
          <w:p w:rsidR="00621458" w:rsidRPr="00D60728" w:rsidRDefault="00621458" w:rsidP="00BF7DCC">
            <w:pPr>
              <w:pStyle w:val="ListParagraph"/>
              <w:numPr>
                <w:ilvl w:val="0"/>
                <w:numId w:val="62"/>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aktivnosti ostalih sudionika EU ETS-a (MZOE, verifikatori, brokeri…)</w:t>
            </w:r>
          </w:p>
        </w:tc>
      </w:tr>
      <w:tr w:rsidR="00621458" w:rsidRPr="00D60728" w:rsidTr="006D54B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549"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tc>
      </w:tr>
      <w:tr w:rsidR="00621458" w:rsidRPr="00D60728" w:rsidTr="006D54B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Ostali dionici</w:t>
            </w:r>
          </w:p>
        </w:tc>
        <w:tc>
          <w:tcPr>
            <w:tcW w:w="6549" w:type="dxa"/>
            <w:vAlign w:val="center"/>
          </w:tcPr>
          <w:p w:rsidR="00621458" w:rsidRPr="00D60728" w:rsidRDefault="00C566EC" w:rsidP="00BF7DCC">
            <w:pPr>
              <w:spacing w:line="240" w:lineRule="auto"/>
              <w:rPr>
                <w:rFonts w:ascii="Times New Roman" w:hAnsi="Times New Roman"/>
                <w:i/>
                <w:iCs/>
                <w:sz w:val="20"/>
                <w:szCs w:val="20"/>
              </w:rPr>
            </w:pPr>
            <w:r w:rsidRPr="00D60728">
              <w:rPr>
                <w:rFonts w:ascii="Times New Roman" w:hAnsi="Times New Roman"/>
                <w:i/>
                <w:iCs/>
                <w:sz w:val="20"/>
                <w:szCs w:val="20"/>
              </w:rPr>
              <w:t>Operateri postrojenja uključeni u EU ETS</w:t>
            </w:r>
          </w:p>
        </w:tc>
      </w:tr>
      <w:tr w:rsidR="00621458" w:rsidRPr="00D60728" w:rsidTr="006D54B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549" w:type="dxa"/>
            <w:vAlign w:val="center"/>
          </w:tcPr>
          <w:p w:rsidR="00621458" w:rsidRPr="00D60728" w:rsidRDefault="00621458" w:rsidP="00BF7DCC">
            <w:pPr>
              <w:pStyle w:val="ListParagraph"/>
              <w:numPr>
                <w:ilvl w:val="0"/>
                <w:numId w:val="32"/>
              </w:numPr>
              <w:spacing w:line="240" w:lineRule="auto"/>
              <w:ind w:left="284" w:hanging="284"/>
              <w:rPr>
                <w:rFonts w:ascii="Times New Roman" w:hAnsi="Times New Roman"/>
                <w:i/>
                <w:iCs/>
                <w:sz w:val="20"/>
                <w:szCs w:val="20"/>
              </w:rPr>
            </w:pPr>
            <w:r w:rsidRPr="00D60728">
              <w:rPr>
                <w:rFonts w:ascii="Times New Roman" w:hAnsi="Times New Roman"/>
                <w:i/>
                <w:iCs/>
                <w:sz w:val="20"/>
                <w:szCs w:val="20"/>
              </w:rPr>
              <w:t xml:space="preserve"> </w:t>
            </w:r>
            <w:r w:rsidR="00C566EC" w:rsidRPr="00D60728">
              <w:rPr>
                <w:rFonts w:ascii="Times New Roman" w:hAnsi="Times New Roman"/>
                <w:i/>
                <w:iCs/>
                <w:sz w:val="20"/>
                <w:szCs w:val="20"/>
              </w:rPr>
              <w:t xml:space="preserve">sredstva vlasnika postrojenja i zrakoplovnih tvrtki </w:t>
            </w:r>
          </w:p>
        </w:tc>
      </w:tr>
      <w:tr w:rsidR="009D51D9" w:rsidRPr="00D60728" w:rsidTr="006D54B7">
        <w:trPr>
          <w:trHeight w:val="1236"/>
        </w:trPr>
        <w:tc>
          <w:tcPr>
            <w:tcW w:w="1129" w:type="dxa"/>
            <w:vMerge w:val="restart"/>
            <w:vAlign w:val="center"/>
            <w:hideMark/>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549" w:type="dxa"/>
            <w:vAlign w:val="center"/>
          </w:tcPr>
          <w:p w:rsidR="009D51D9" w:rsidRPr="00D60728" w:rsidRDefault="009D51D9"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Ciljano smanjenje emisije stakleničkih plinova je najmanje 2,2% godišnje, povećanjem energetske učinkovitosti, korištenjem obnovljivih izvora energije i ostalim mjerama za smanjenje emisije (neželjeno: smanjenje proizvodnje u postrojenjima ili reduciranje broja i dužine letova zrakoplovnih tvrtki).</w:t>
            </w:r>
          </w:p>
        </w:tc>
      </w:tr>
      <w:tr w:rsidR="00C566EC" w:rsidRPr="00D60728" w:rsidTr="006D54B7">
        <w:trPr>
          <w:trHeight w:val="686"/>
        </w:trPr>
        <w:tc>
          <w:tcPr>
            <w:tcW w:w="1129" w:type="dxa"/>
            <w:vMerge/>
            <w:vAlign w:val="center"/>
            <w:hideMark/>
          </w:tcPr>
          <w:p w:rsidR="00C566EC" w:rsidRPr="00D60728" w:rsidRDefault="00C566EC" w:rsidP="00BF7DCC">
            <w:pPr>
              <w:spacing w:line="240" w:lineRule="auto"/>
              <w:jc w:val="left"/>
              <w:rPr>
                <w:rFonts w:ascii="Times New Roman" w:hAnsi="Times New Roman"/>
                <w:sz w:val="20"/>
                <w:szCs w:val="20"/>
              </w:rPr>
            </w:pPr>
          </w:p>
        </w:tc>
        <w:tc>
          <w:tcPr>
            <w:tcW w:w="1418" w:type="dxa"/>
            <w:vAlign w:val="center"/>
          </w:tcPr>
          <w:p w:rsidR="00C566EC" w:rsidRPr="00D60728" w:rsidRDefault="00C566EC"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549" w:type="dxa"/>
            <w:vAlign w:val="center"/>
          </w:tcPr>
          <w:p w:rsidR="00C566EC" w:rsidRPr="00D60728" w:rsidRDefault="00C566EC"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Izrada i verifikacija izvješća o emisijama stakleničkih plinova</w:t>
            </w:r>
          </w:p>
        </w:tc>
      </w:tr>
    </w:tbl>
    <w:p w:rsidR="00621458" w:rsidRPr="00D60728" w:rsidRDefault="00621458" w:rsidP="00BF7DCC">
      <w:pPr>
        <w:spacing w:line="240" w:lineRule="auto"/>
        <w:rPr>
          <w:sz w:val="20"/>
          <w:szCs w:val="20"/>
        </w:rPr>
      </w:pPr>
    </w:p>
    <w:p w:rsidR="00C566EC" w:rsidRPr="00D60728" w:rsidRDefault="00C566EC"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621458" w:rsidRPr="006D54B7" w:rsidTr="00236080">
        <w:trPr>
          <w:trHeight w:val="454"/>
        </w:trPr>
        <w:tc>
          <w:tcPr>
            <w:tcW w:w="2547" w:type="dxa"/>
            <w:gridSpan w:val="2"/>
            <w:shd w:val="clear" w:color="auto" w:fill="D9D9D9" w:themeFill="background1" w:themeFillShade="D9"/>
            <w:vAlign w:val="center"/>
            <w:hideMark/>
          </w:tcPr>
          <w:p w:rsidR="00621458" w:rsidRPr="006D54B7" w:rsidRDefault="00621458" w:rsidP="006D54B7">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D54B7" w:rsidRDefault="00621458" w:rsidP="006D54B7">
            <w:pPr>
              <w:spacing w:line="240" w:lineRule="auto"/>
              <w:ind w:right="57"/>
              <w:jc w:val="left"/>
              <w:rPr>
                <w:rFonts w:ascii="Times New Roman" w:hAnsi="Times New Roman"/>
                <w:b/>
                <w:i/>
                <w:iCs/>
              </w:rPr>
            </w:pPr>
            <w:r w:rsidRPr="006D54B7">
              <w:rPr>
                <w:rFonts w:ascii="Times New Roman" w:hAnsi="Times New Roman"/>
                <w:b/>
                <w:i/>
                <w:iCs/>
              </w:rPr>
              <w:t>Porez na emisiju CO</w:t>
            </w:r>
            <w:r w:rsidRPr="006D54B7">
              <w:rPr>
                <w:rFonts w:ascii="Times New Roman" w:hAnsi="Times New Roman"/>
                <w:b/>
                <w:i/>
                <w:iCs/>
                <w:vertAlign w:val="subscript"/>
              </w:rPr>
              <w:t>2</w:t>
            </w:r>
            <w:r w:rsidRPr="006D54B7">
              <w:rPr>
                <w:rFonts w:ascii="Times New Roman" w:hAnsi="Times New Roman"/>
                <w:b/>
                <w:i/>
                <w:iCs/>
              </w:rPr>
              <w:t xml:space="preserve"> za stacionarne izvore koji nisu</w:t>
            </w:r>
          </w:p>
          <w:p w:rsidR="00621458" w:rsidRPr="006D54B7" w:rsidRDefault="00621458" w:rsidP="006D54B7">
            <w:pPr>
              <w:spacing w:line="240" w:lineRule="auto"/>
              <w:ind w:right="57"/>
              <w:jc w:val="left"/>
              <w:rPr>
                <w:rFonts w:ascii="Times New Roman" w:hAnsi="Times New Roman"/>
                <w:b/>
                <w:i/>
                <w:iCs/>
              </w:rPr>
            </w:pPr>
            <w:r w:rsidRPr="006D54B7">
              <w:rPr>
                <w:rFonts w:ascii="Times New Roman" w:hAnsi="Times New Roman"/>
                <w:b/>
                <w:i/>
                <w:iCs/>
              </w:rPr>
              <w:t xml:space="preserve"> u EU ETS-u</w:t>
            </w:r>
          </w:p>
        </w:tc>
      </w:tr>
      <w:tr w:rsidR="00621458" w:rsidRPr="00D60728" w:rsidTr="00236080">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MCC-5</w:t>
            </w:r>
          </w:p>
        </w:tc>
      </w:tr>
      <w:tr w:rsidR="00621458" w:rsidRPr="00D60728" w:rsidTr="00236080">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Regul</w:t>
            </w:r>
            <w:r w:rsidR="009D51D9" w:rsidRPr="00D60728">
              <w:rPr>
                <w:rFonts w:ascii="Times New Roman" w:hAnsi="Times New Roman"/>
                <w:i/>
                <w:iCs/>
                <w:sz w:val="20"/>
                <w:szCs w:val="20"/>
              </w:rPr>
              <w:t>a</w:t>
            </w:r>
            <w:r w:rsidRPr="00D60728">
              <w:rPr>
                <w:rFonts w:ascii="Times New Roman" w:hAnsi="Times New Roman"/>
                <w:i/>
                <w:iCs/>
                <w:sz w:val="20"/>
                <w:szCs w:val="20"/>
              </w:rPr>
              <w:t>torna i fiskalna mjera</w:t>
            </w:r>
          </w:p>
        </w:tc>
      </w:tr>
      <w:tr w:rsidR="00621458" w:rsidRPr="00D60728" w:rsidTr="00236080">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9D51D9" w:rsidRPr="00D60728">
              <w:rPr>
                <w:rFonts w:ascii="Times New Roman" w:hAnsi="Times New Roman"/>
                <w:i/>
                <w:iCs/>
                <w:sz w:val="20"/>
                <w:szCs w:val="20"/>
              </w:rPr>
              <w:t>0</w:t>
            </w:r>
            <w:r w:rsidRPr="00D60728">
              <w:rPr>
                <w:rFonts w:ascii="Times New Roman" w:hAnsi="Times New Roman"/>
                <w:i/>
                <w:iCs/>
                <w:sz w:val="20"/>
                <w:szCs w:val="20"/>
              </w:rPr>
              <w:t>.</w:t>
            </w:r>
          </w:p>
        </w:tc>
      </w:tr>
      <w:tr w:rsidR="00621458" w:rsidRPr="00D60728" w:rsidTr="00236080">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9D51D9"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r w:rsidR="00621458" w:rsidRPr="00D60728">
              <w:rPr>
                <w:rFonts w:ascii="Times New Roman" w:hAnsi="Times New Roman"/>
                <w:i/>
                <w:iCs/>
                <w:sz w:val="20"/>
                <w:szCs w:val="20"/>
              </w:rPr>
              <w:t>.</w:t>
            </w:r>
          </w:p>
        </w:tc>
      </w:tr>
      <w:tr w:rsidR="00621458" w:rsidRPr="00D60728" w:rsidTr="00236080">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auto"/>
            <w:vAlign w:val="center"/>
          </w:tcPr>
          <w:p w:rsidR="00621458" w:rsidRPr="00D60728" w:rsidRDefault="009D51D9"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N</w:t>
            </w:r>
            <w:r w:rsidR="00621458" w:rsidRPr="00D60728">
              <w:rPr>
                <w:rFonts w:ascii="Times New Roman" w:hAnsi="Times New Roman"/>
                <w:i/>
                <w:iCs/>
                <w:sz w:val="20"/>
                <w:szCs w:val="20"/>
              </w:rPr>
              <w:t>astavak provedbe mjere u razdoblju od 202</w:t>
            </w:r>
            <w:r w:rsidRPr="00D60728">
              <w:rPr>
                <w:rFonts w:ascii="Times New Roman" w:hAnsi="Times New Roman"/>
                <w:i/>
                <w:iCs/>
                <w:sz w:val="20"/>
                <w:szCs w:val="20"/>
              </w:rPr>
              <w:t>0</w:t>
            </w:r>
            <w:r w:rsidR="00621458" w:rsidRPr="00D60728">
              <w:rPr>
                <w:rFonts w:ascii="Times New Roman" w:hAnsi="Times New Roman"/>
                <w:i/>
                <w:iCs/>
                <w:sz w:val="20"/>
                <w:szCs w:val="20"/>
              </w:rPr>
              <w:t>. do 20</w:t>
            </w:r>
            <w:r w:rsidRPr="00D60728">
              <w:rPr>
                <w:rFonts w:ascii="Times New Roman" w:hAnsi="Times New Roman"/>
                <w:i/>
                <w:iCs/>
                <w:sz w:val="20"/>
                <w:szCs w:val="20"/>
              </w:rPr>
              <w:t>24</w:t>
            </w:r>
            <w:r w:rsidR="00621458" w:rsidRPr="00D60728">
              <w:rPr>
                <w:rFonts w:ascii="Times New Roman" w:hAnsi="Times New Roman"/>
                <w:i/>
                <w:iCs/>
                <w:sz w:val="20"/>
                <w:szCs w:val="20"/>
              </w:rPr>
              <w:t>. godine uz modifikacije u cilju povećanja učinkovitosti. Razmotrit će se mogućnost uključivanja poreza na emisiju CO</w:t>
            </w:r>
            <w:r w:rsidR="00621458" w:rsidRPr="00D60728">
              <w:rPr>
                <w:rFonts w:ascii="Times New Roman" w:hAnsi="Times New Roman"/>
                <w:i/>
                <w:iCs/>
                <w:sz w:val="20"/>
                <w:szCs w:val="20"/>
                <w:vertAlign w:val="subscript"/>
              </w:rPr>
              <w:t>2</w:t>
            </w:r>
            <w:r w:rsidR="00621458" w:rsidRPr="00D60728">
              <w:rPr>
                <w:rFonts w:ascii="Times New Roman" w:hAnsi="Times New Roman"/>
                <w:i/>
                <w:iCs/>
                <w:sz w:val="20"/>
                <w:szCs w:val="20"/>
              </w:rPr>
              <w:t xml:space="preserve"> u cijenu fosilnih goriva za sve sektore izvan EU ETS-a, umjesto dosadašnje naknade na emisiju CO</w:t>
            </w:r>
            <w:r w:rsidR="00621458" w:rsidRPr="00D60728">
              <w:rPr>
                <w:rFonts w:ascii="Times New Roman" w:hAnsi="Times New Roman"/>
                <w:i/>
                <w:iCs/>
                <w:sz w:val="20"/>
                <w:szCs w:val="20"/>
                <w:vertAlign w:val="subscript"/>
              </w:rPr>
              <w:t>2</w:t>
            </w:r>
            <w:r w:rsidR="00621458" w:rsidRPr="00D60728">
              <w:rPr>
                <w:rFonts w:ascii="Times New Roman" w:hAnsi="Times New Roman"/>
                <w:i/>
                <w:iCs/>
                <w:sz w:val="20"/>
                <w:szCs w:val="20"/>
              </w:rPr>
              <w:t xml:space="preserve"> za stacionarne izvora.</w:t>
            </w:r>
          </w:p>
        </w:tc>
      </w:tr>
      <w:tr w:rsidR="009D51D9" w:rsidRPr="00D60728" w:rsidTr="006D54B7">
        <w:trPr>
          <w:trHeight w:val="4234"/>
        </w:trPr>
        <w:tc>
          <w:tcPr>
            <w:tcW w:w="1129" w:type="dxa"/>
            <w:vMerge/>
            <w:vAlign w:val="center"/>
          </w:tcPr>
          <w:p w:rsidR="009D51D9" w:rsidRPr="00D60728" w:rsidRDefault="009D51D9" w:rsidP="00BF7DCC">
            <w:pPr>
              <w:spacing w:line="240" w:lineRule="auto"/>
              <w:jc w:val="left"/>
              <w:rPr>
                <w:rFonts w:ascii="Times New Roman" w:hAnsi="Times New Roman"/>
                <w:sz w:val="20"/>
                <w:szCs w:val="20"/>
              </w:rPr>
            </w:pPr>
          </w:p>
        </w:tc>
        <w:tc>
          <w:tcPr>
            <w:tcW w:w="1418" w:type="dxa"/>
            <w:vAlign w:val="center"/>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9D51D9" w:rsidRPr="00D60728" w:rsidRDefault="009D51D9" w:rsidP="00BF7DCC">
            <w:pPr>
              <w:spacing w:line="240" w:lineRule="auto"/>
              <w:rPr>
                <w:rFonts w:ascii="Times New Roman" w:hAnsi="Times New Roman"/>
                <w:i/>
                <w:iCs/>
                <w:sz w:val="20"/>
                <w:szCs w:val="20"/>
              </w:rPr>
            </w:pPr>
            <w:r w:rsidRPr="00D60728">
              <w:rPr>
                <w:rFonts w:ascii="Times New Roman" w:hAnsi="Times New Roman"/>
                <w:i/>
                <w:iCs/>
                <w:sz w:val="20"/>
                <w:szCs w:val="20"/>
              </w:rPr>
              <w:t>Uredba o jediničnim naknadama, korektivnim koeficijentima i pobližim kriterijima i mjerilima za utvrđivanje naknade na emisiju u okoliš ugljikovog dioksida (NN 73/07, 48/09, 2/18) propisuje obvezu plaćanja naknade na emisiju CO2 za sve stacionarne izvore koji emitiraju više od 30 tona CO2 godišnje od 2007.-2014., odnosno 450 tona CO2 godišnje od 2015. godine. Obveznicima plaćanja naknada koji ulažu u energetsku učinkovitost, OIE i druge mjere za smanjenje emisije CO2 i ostalih emisija stakleničkih plinova naplaćuje se niža naknada. Fond za zaštitu okoliša i energetsku učinkovitost ovlašten je za obračun i naplatu troškova. Od 2013. nadalje, obveza plaćanja naknade na emisiju CO2 odnosi se samo na izvore koji nisu obuhvaćeni ETS-om. Zakon o izmjenama i dopunama Zakona o fondu za zaštitu okoliša i energetsku učinkovitost (NN 144/12) propisuje da od 1. siječnja 2013. godine pravne ili fizičke osobe koje posjeduju ili koriste barem jedan izvor emisije CO2 za koje su dobivene dozvole za emisije stakleničkih plinova, a koje su na temelju rješenja izdanog prema posebnom propisu kojim se uređuje zaštita zraka isključene iz sustava trgovanja emisijskim jedinicama, trebaju plaćati godišnju naknadu na emisiju stakleničkih plinova.</w:t>
            </w:r>
          </w:p>
        </w:tc>
      </w:tr>
      <w:tr w:rsidR="00621458" w:rsidRPr="00D60728" w:rsidTr="00236080">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studijska analiza učinaka promjene modela oporezivanja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kojom bi se razmatrali pozitivni i negativni učinci uvođenja poreza umjesto dosadašnje naknade na emisiju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p w:rsidR="00621458" w:rsidRPr="00D60728" w:rsidRDefault="00621458" w:rsidP="00BF7DCC">
            <w:pPr>
              <w:pStyle w:val="ListParagraph"/>
              <w:numPr>
                <w:ilvl w:val="0"/>
                <w:numId w:val="32"/>
              </w:numPr>
              <w:spacing w:line="240" w:lineRule="auto"/>
              <w:ind w:left="284" w:hanging="284"/>
              <w:rPr>
                <w:rFonts w:ascii="Times New Roman" w:hAnsi="Times New Roman"/>
                <w:i/>
                <w:iCs/>
                <w:sz w:val="20"/>
                <w:szCs w:val="20"/>
              </w:rPr>
            </w:pPr>
            <w:r w:rsidRPr="00D60728">
              <w:rPr>
                <w:rFonts w:ascii="Times New Roman" w:hAnsi="Times New Roman"/>
                <w:i/>
                <w:iCs/>
                <w:sz w:val="20"/>
                <w:szCs w:val="20"/>
              </w:rPr>
              <w:t>ukoliko analiza pokaže izvedivost i troškovnu učinkovitost uvođenja poreza na CO</w:t>
            </w:r>
            <w:r w:rsidRPr="00D60728">
              <w:rPr>
                <w:rFonts w:ascii="Times New Roman" w:hAnsi="Times New Roman"/>
                <w:i/>
                <w:iCs/>
                <w:sz w:val="20"/>
                <w:szCs w:val="20"/>
                <w:vertAlign w:val="subscript"/>
              </w:rPr>
              <w:t>2</w:t>
            </w:r>
            <w:r w:rsidRPr="00D60728">
              <w:rPr>
                <w:rFonts w:ascii="Times New Roman" w:hAnsi="Times New Roman"/>
                <w:i/>
                <w:iCs/>
                <w:sz w:val="20"/>
                <w:szCs w:val="20"/>
              </w:rPr>
              <w:t>, priprema podzakonskog akta u 2022. godini, kojim će se definirati iznos poreza na emisiju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za različite vrste fosilnih goriva i različite energetske sektore izvan ETS-a; </w:t>
            </w:r>
          </w:p>
          <w:p w:rsidR="00621458" w:rsidRPr="00D60728" w:rsidRDefault="00621458" w:rsidP="00BF7DCC">
            <w:pPr>
              <w:pStyle w:val="ListParagraph"/>
              <w:numPr>
                <w:ilvl w:val="0"/>
                <w:numId w:val="32"/>
              </w:numPr>
              <w:spacing w:line="240" w:lineRule="auto"/>
              <w:ind w:left="284" w:hanging="284"/>
              <w:rPr>
                <w:rFonts w:ascii="Times New Roman" w:hAnsi="Times New Roman"/>
                <w:i/>
                <w:iCs/>
                <w:sz w:val="20"/>
                <w:szCs w:val="20"/>
              </w:rPr>
            </w:pPr>
            <w:r w:rsidRPr="00D60728">
              <w:rPr>
                <w:rFonts w:ascii="Times New Roman" w:hAnsi="Times New Roman"/>
                <w:i/>
                <w:iCs/>
                <w:sz w:val="20"/>
                <w:szCs w:val="20"/>
              </w:rPr>
              <w:t>uvođenje poreza umjesto naknade na emisiju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od 2023. godine;</w:t>
            </w:r>
          </w:p>
          <w:p w:rsidR="00621458" w:rsidRPr="00D60728" w:rsidRDefault="00621458" w:rsidP="00BF7DCC">
            <w:pPr>
              <w:pStyle w:val="ListParagraph"/>
              <w:numPr>
                <w:ilvl w:val="0"/>
                <w:numId w:val="32"/>
              </w:numPr>
              <w:spacing w:line="240" w:lineRule="auto"/>
              <w:ind w:left="284" w:hanging="284"/>
              <w:rPr>
                <w:rFonts w:ascii="Times New Roman" w:hAnsi="Times New Roman"/>
                <w:i/>
                <w:iCs/>
                <w:sz w:val="20"/>
                <w:szCs w:val="20"/>
              </w:rPr>
            </w:pPr>
            <w:r w:rsidRPr="00D60728">
              <w:rPr>
                <w:rFonts w:ascii="Times New Roman" w:hAnsi="Times New Roman"/>
                <w:i/>
                <w:iCs/>
                <w:sz w:val="20"/>
                <w:szCs w:val="20"/>
              </w:rPr>
              <w:t>godišnje ažuriranje iznosa poreza na emisiju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za različite vrste fosilnih goriva i različite energetske sektore izvan ETS-a;</w:t>
            </w:r>
          </w:p>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održavanje i nadogradnja baze podataka Registra onečišćavanja okoliša (ROO).</w:t>
            </w:r>
          </w:p>
        </w:tc>
      </w:tr>
      <w:tr w:rsidR="009D51D9" w:rsidRPr="00D60728" w:rsidTr="00236080">
        <w:trPr>
          <w:trHeight w:val="585"/>
        </w:trPr>
        <w:tc>
          <w:tcPr>
            <w:tcW w:w="1129" w:type="dxa"/>
            <w:vMerge/>
            <w:vAlign w:val="center"/>
            <w:hideMark/>
          </w:tcPr>
          <w:p w:rsidR="009D51D9" w:rsidRPr="00D60728" w:rsidRDefault="009D51D9" w:rsidP="00BF7DCC">
            <w:pPr>
              <w:spacing w:line="240" w:lineRule="auto"/>
              <w:jc w:val="left"/>
              <w:rPr>
                <w:rFonts w:ascii="Times New Roman" w:hAnsi="Times New Roman"/>
                <w:sz w:val="20"/>
                <w:szCs w:val="20"/>
              </w:rPr>
            </w:pPr>
          </w:p>
        </w:tc>
        <w:tc>
          <w:tcPr>
            <w:tcW w:w="1418" w:type="dxa"/>
            <w:vAlign w:val="center"/>
            <w:hideMark/>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9D51D9" w:rsidRPr="00D60728" w:rsidRDefault="009D51D9"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tc>
      </w:tr>
      <w:tr w:rsidR="00621458" w:rsidRPr="00D60728" w:rsidTr="00236080">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1.000.000 kn za studijsku analizu, pripremu nacrta podzakonskog akta i godišnje ažuriranje iznosa poreza na emisiju CO2</w:t>
            </w:r>
          </w:p>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Financijska sredstva od dražbi</w:t>
            </w:r>
          </w:p>
        </w:tc>
      </w:tr>
      <w:tr w:rsidR="009D51D9" w:rsidRPr="00D60728" w:rsidTr="00236080">
        <w:trPr>
          <w:trHeight w:val="945"/>
        </w:trPr>
        <w:tc>
          <w:tcPr>
            <w:tcW w:w="1129" w:type="dxa"/>
            <w:vMerge w:val="restart"/>
            <w:vAlign w:val="center"/>
            <w:hideMark/>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9D51D9" w:rsidRPr="00D60728" w:rsidRDefault="009D51D9"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korištenja fosilnih goriva i posljedično smanjenje emisije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i ostalih stakleničkih plinova</w:t>
            </w:r>
          </w:p>
        </w:tc>
      </w:tr>
      <w:tr w:rsidR="009D51D9" w:rsidRPr="00D60728" w:rsidTr="00236080">
        <w:trPr>
          <w:trHeight w:val="731"/>
        </w:trPr>
        <w:tc>
          <w:tcPr>
            <w:tcW w:w="1129" w:type="dxa"/>
            <w:vMerge/>
            <w:vAlign w:val="center"/>
            <w:hideMark/>
          </w:tcPr>
          <w:p w:rsidR="009D51D9" w:rsidRPr="00D60728" w:rsidRDefault="009D51D9" w:rsidP="00BF7DCC">
            <w:pPr>
              <w:spacing w:line="240" w:lineRule="auto"/>
              <w:jc w:val="left"/>
              <w:rPr>
                <w:rFonts w:ascii="Times New Roman" w:hAnsi="Times New Roman"/>
                <w:sz w:val="20"/>
                <w:szCs w:val="20"/>
              </w:rPr>
            </w:pPr>
          </w:p>
        </w:tc>
        <w:tc>
          <w:tcPr>
            <w:tcW w:w="1418" w:type="dxa"/>
            <w:vAlign w:val="center"/>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9D51D9" w:rsidRPr="00D60728" w:rsidRDefault="009D51D9" w:rsidP="00BF7DCC">
            <w:pPr>
              <w:spacing w:line="240" w:lineRule="auto"/>
              <w:jc w:val="left"/>
              <w:rPr>
                <w:rFonts w:ascii="Times New Roman" w:hAnsi="Times New Roman"/>
                <w:i/>
                <w:sz w:val="20"/>
                <w:szCs w:val="20"/>
              </w:rPr>
            </w:pPr>
          </w:p>
        </w:tc>
      </w:tr>
    </w:tbl>
    <w:p w:rsidR="00621458" w:rsidRPr="00D60728" w:rsidRDefault="00621458" w:rsidP="00BF7DCC">
      <w:pPr>
        <w:spacing w:line="240" w:lineRule="auto"/>
        <w:rPr>
          <w:sz w:val="20"/>
          <w:szCs w:val="20"/>
        </w:rPr>
      </w:pPr>
    </w:p>
    <w:p w:rsidR="00621458" w:rsidRPr="00D60728" w:rsidRDefault="00621458" w:rsidP="00BF7DCC">
      <w:pPr>
        <w:pStyle w:val="Caption"/>
        <w:keepNext/>
        <w:spacing w:after="0" w:line="240" w:lineRule="auto"/>
        <w:rPr>
          <w:sz w:val="20"/>
          <w:szCs w:val="20"/>
        </w:rPr>
      </w:pPr>
    </w:p>
    <w:p w:rsidR="00236080" w:rsidRPr="00D60728" w:rsidRDefault="00236080" w:rsidP="00BF7DCC">
      <w:pPr>
        <w:spacing w:line="240" w:lineRule="auto"/>
        <w:rPr>
          <w:sz w:val="20"/>
          <w:szCs w:val="20"/>
        </w:rPr>
      </w:pPr>
      <w:r w:rsidRPr="00D60728">
        <w:rPr>
          <w:sz w:val="20"/>
          <w:szCs w:val="20"/>
        </w:rPr>
        <w:br w:type="page"/>
      </w:r>
    </w:p>
    <w:tbl>
      <w:tblPr>
        <w:tblStyle w:val="TableGrid"/>
        <w:tblW w:w="9175" w:type="dxa"/>
        <w:tblLayout w:type="fixed"/>
        <w:tblLook w:val="04A0" w:firstRow="1" w:lastRow="0" w:firstColumn="1" w:lastColumn="0" w:noHBand="0" w:noVBand="1"/>
      </w:tblPr>
      <w:tblGrid>
        <w:gridCol w:w="1129"/>
        <w:gridCol w:w="1418"/>
        <w:gridCol w:w="6628"/>
      </w:tblGrid>
      <w:tr w:rsidR="00621458" w:rsidRPr="006D54B7" w:rsidTr="00A9651D">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lastRenderedPageBreak/>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Sporazum gradonačelnika za klimu i energiju u Republici Hrvatskoj</w:t>
            </w:r>
          </w:p>
        </w:tc>
      </w:tr>
      <w:tr w:rsidR="00621458" w:rsidRPr="00D60728" w:rsidTr="00A9651D">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MCC-6</w:t>
            </w:r>
          </w:p>
        </w:tc>
      </w:tr>
      <w:tr w:rsidR="00621458" w:rsidRPr="00D60728" w:rsidTr="00A9651D">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Organizacijska mjera</w:t>
            </w:r>
          </w:p>
        </w:tc>
      </w:tr>
      <w:tr w:rsidR="00621458" w:rsidRPr="00D60728" w:rsidTr="00A9651D">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A9651D"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r w:rsidR="00621458" w:rsidRPr="00D60728">
              <w:rPr>
                <w:rFonts w:ascii="Times New Roman" w:hAnsi="Times New Roman"/>
                <w:i/>
                <w:iCs/>
                <w:sz w:val="20"/>
                <w:szCs w:val="20"/>
              </w:rPr>
              <w:t>.</w:t>
            </w:r>
          </w:p>
        </w:tc>
      </w:tr>
      <w:tr w:rsidR="00621458" w:rsidRPr="00D60728" w:rsidTr="00A9651D">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A9651D"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r w:rsidR="00621458" w:rsidRPr="00D60728">
              <w:rPr>
                <w:rFonts w:ascii="Times New Roman" w:hAnsi="Times New Roman"/>
                <w:i/>
                <w:iCs/>
                <w:sz w:val="20"/>
                <w:szCs w:val="20"/>
              </w:rPr>
              <w:t>.</w:t>
            </w:r>
          </w:p>
        </w:tc>
      </w:tr>
      <w:tr w:rsidR="00621458" w:rsidRPr="00D60728" w:rsidTr="00A9651D">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auto"/>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Smanjenje emisije stakleničkih plinova za 40 % do 2030. godine te usvajanje zajedničkog pristupa rješavanju ublažavanja i prilagodbe na klimatske promjene.</w:t>
            </w:r>
          </w:p>
        </w:tc>
      </w:tr>
      <w:tr w:rsidR="00A9651D" w:rsidRPr="00D60728" w:rsidTr="00A9651D">
        <w:trPr>
          <w:trHeight w:val="4192"/>
        </w:trPr>
        <w:tc>
          <w:tcPr>
            <w:tcW w:w="1129" w:type="dxa"/>
            <w:vMerge/>
            <w:vAlign w:val="center"/>
          </w:tcPr>
          <w:p w:rsidR="00A9651D" w:rsidRPr="00D60728" w:rsidRDefault="00A9651D" w:rsidP="00BF7DCC">
            <w:pPr>
              <w:spacing w:line="240" w:lineRule="auto"/>
              <w:jc w:val="left"/>
              <w:rPr>
                <w:rFonts w:ascii="Times New Roman" w:hAnsi="Times New Roman"/>
                <w:sz w:val="20"/>
                <w:szCs w:val="20"/>
              </w:rPr>
            </w:pPr>
          </w:p>
        </w:tc>
        <w:tc>
          <w:tcPr>
            <w:tcW w:w="1418" w:type="dxa"/>
            <w:vAlign w:val="center"/>
          </w:tcPr>
          <w:p w:rsidR="00A9651D" w:rsidRPr="00D60728" w:rsidRDefault="00A9651D"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A9651D" w:rsidRPr="00D60728" w:rsidRDefault="00A9651D" w:rsidP="00BF7DCC">
            <w:pPr>
              <w:spacing w:line="240" w:lineRule="auto"/>
              <w:rPr>
                <w:rFonts w:ascii="Times New Roman" w:hAnsi="Times New Roman"/>
                <w:i/>
                <w:iCs/>
                <w:sz w:val="20"/>
                <w:szCs w:val="20"/>
              </w:rPr>
            </w:pPr>
            <w:r w:rsidRPr="00D60728">
              <w:rPr>
                <w:rFonts w:ascii="Times New Roman" w:hAnsi="Times New Roman"/>
                <w:i/>
                <w:iCs/>
                <w:sz w:val="20"/>
                <w:szCs w:val="20"/>
              </w:rPr>
              <w:t>Europski sporazum gradonačelnika za klimu i energiju okuplja više od 9,5 tisuća tijela lokalne i regionalne vlasti u 59 zemalja koja su se dobrovoljno posvetila provedbi ciljeva Europske unije za klimu i energiju koristeći prednosti pokreta koji ujedinjuje brojne dionike širom svijeta te metodološku i tehničku potporu koju pružaju nadležni uredi. Potpisnici Sporazuma podržavaju zajedničku viziju za 2050. godinu: ubrzavanje dekarbonizacije njihovih teritorija, osnaživanje kapaciteta za prilagodbu na neizbježan utjecaj klimatskih promjena te omogućavanje građanima pristup sigurnoj, održivoj i povoljnoj energiji. Gradovi potpisnici obvezuju se na djelovanje koje će podržati smanjenje emisije stakleničkih plinova za 40 % do 2030. godine te usvajanje zajedničkog pristupa rješavanju ublažavanja i prilagodbe na klimatske promjene. Kako bi svoj politički angažman prenijeli iz teorije u praktične mjere i projekte, potpisnici Sporazuma obvezuju se na dostavljanje Akcijskog plana energetski i klimatski održivog razvitka (SECAP). Ovu inicijativu je u RH prihvatilo 82 grada i općine, tako da je Sporazumom gradonačelnika obuhvaćeno preko 2 milijuna stanovnika u RH.</w:t>
            </w:r>
          </w:p>
        </w:tc>
      </w:tr>
      <w:tr w:rsidR="00621458" w:rsidRPr="00D60728" w:rsidTr="00A9651D">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ListParagraph"/>
              <w:numPr>
                <w:ilvl w:val="0"/>
                <w:numId w:val="51"/>
              </w:numPr>
              <w:spacing w:line="240" w:lineRule="auto"/>
              <w:ind w:left="284" w:hanging="284"/>
              <w:rPr>
                <w:rFonts w:ascii="Times New Roman" w:hAnsi="Times New Roman"/>
                <w:i/>
                <w:sz w:val="20"/>
                <w:szCs w:val="20"/>
              </w:rPr>
            </w:pPr>
            <w:r w:rsidRPr="000013EE">
              <w:rPr>
                <w:rFonts w:ascii="Times New Roman" w:hAnsi="Times New Roman"/>
                <w:i/>
                <w:sz w:val="20"/>
                <w:szCs w:val="20"/>
                <w:highlight w:val="yellow"/>
              </w:rPr>
              <w:t>Izrada Akcijskih planova energetski i klimatski održivog razvitka (SECAP) za gradove i općine potpisnice Sporazuma gradonačelnika</w:t>
            </w:r>
            <w:r w:rsidRPr="00D60728">
              <w:rPr>
                <w:rFonts w:ascii="Times New Roman" w:hAnsi="Times New Roman"/>
                <w:i/>
                <w:sz w:val="20"/>
                <w:szCs w:val="20"/>
              </w:rPr>
              <w:t xml:space="preserve"> te usvajanje zajedničkog pristupa rješavanju ublažavanja i prilagodbe na klimatske promjene, u roku od dvije godine od pristupanja Sporazumu;</w:t>
            </w:r>
          </w:p>
          <w:p w:rsidR="00621458" w:rsidRPr="00D60728" w:rsidRDefault="00621458" w:rsidP="00BF7DCC">
            <w:pPr>
              <w:pStyle w:val="ListParagraph"/>
              <w:numPr>
                <w:ilvl w:val="0"/>
                <w:numId w:val="51"/>
              </w:numPr>
              <w:spacing w:line="240" w:lineRule="auto"/>
              <w:ind w:left="284" w:hanging="284"/>
              <w:rPr>
                <w:rFonts w:ascii="Times New Roman" w:hAnsi="Times New Roman"/>
                <w:i/>
                <w:sz w:val="20"/>
                <w:szCs w:val="20"/>
              </w:rPr>
            </w:pPr>
            <w:r w:rsidRPr="00D60728">
              <w:rPr>
                <w:rFonts w:ascii="Times New Roman" w:hAnsi="Times New Roman"/>
                <w:i/>
                <w:sz w:val="20"/>
                <w:szCs w:val="20"/>
              </w:rPr>
              <w:t>Praćenje napretka u ostvarivanju cilja postavljenog u SECAP-u od najmanje 40 % smanjenja emisije stakleničkih plinova (izvještavanje o napretku provedbe plana svake dvije godine);</w:t>
            </w:r>
          </w:p>
          <w:p w:rsidR="00621458" w:rsidRPr="00D60728" w:rsidRDefault="00621458" w:rsidP="00BF7DCC">
            <w:pPr>
              <w:pStyle w:val="ListParagraph"/>
              <w:numPr>
                <w:ilvl w:val="0"/>
                <w:numId w:val="51"/>
              </w:numPr>
              <w:spacing w:line="240" w:lineRule="auto"/>
              <w:ind w:left="284" w:hanging="284"/>
              <w:rPr>
                <w:rFonts w:ascii="Times New Roman" w:hAnsi="Times New Roman"/>
                <w:i/>
                <w:sz w:val="20"/>
                <w:szCs w:val="20"/>
              </w:rPr>
            </w:pPr>
            <w:r w:rsidRPr="00D60728">
              <w:rPr>
                <w:rFonts w:ascii="Times New Roman" w:hAnsi="Times New Roman"/>
                <w:i/>
                <w:sz w:val="20"/>
                <w:szCs w:val="20"/>
              </w:rPr>
              <w:t>Usklađivanje praćenja i provedbe aktivnosti predviđenih u pojedinim SECAP-ima te u okviru Integriranog energetskog i klimats</w:t>
            </w:r>
            <w:r w:rsidR="00DA5DF6">
              <w:rPr>
                <w:rFonts w:ascii="Times New Roman" w:hAnsi="Times New Roman"/>
                <w:i/>
                <w:sz w:val="20"/>
                <w:szCs w:val="20"/>
              </w:rPr>
              <w:t>k</w:t>
            </w:r>
            <w:r w:rsidRPr="00D60728">
              <w:rPr>
                <w:rFonts w:ascii="Times New Roman" w:hAnsi="Times New Roman"/>
                <w:i/>
                <w:sz w:val="20"/>
                <w:szCs w:val="20"/>
              </w:rPr>
              <w:t>og plana;</w:t>
            </w:r>
          </w:p>
          <w:p w:rsidR="00621458" w:rsidRPr="00D60728" w:rsidRDefault="00621458" w:rsidP="00BF7DCC">
            <w:pPr>
              <w:pStyle w:val="ListParagraph"/>
              <w:numPr>
                <w:ilvl w:val="0"/>
                <w:numId w:val="5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Korištenje podataka o provedenim aktivnostima i projektima u okviru pojedinih SECAP-ova prilikom svake sljedeće revizije Integriranog energetskog i klimatskog plana.</w:t>
            </w:r>
          </w:p>
        </w:tc>
      </w:tr>
      <w:tr w:rsidR="00A9651D" w:rsidRPr="00D60728" w:rsidTr="00A9651D">
        <w:trPr>
          <w:trHeight w:val="714"/>
        </w:trPr>
        <w:tc>
          <w:tcPr>
            <w:tcW w:w="1129" w:type="dxa"/>
            <w:vMerge/>
            <w:vAlign w:val="center"/>
            <w:hideMark/>
          </w:tcPr>
          <w:p w:rsidR="00A9651D" w:rsidRPr="00D60728" w:rsidRDefault="00A9651D" w:rsidP="00BF7DCC">
            <w:pPr>
              <w:spacing w:line="240" w:lineRule="auto"/>
              <w:jc w:val="left"/>
              <w:rPr>
                <w:rFonts w:ascii="Times New Roman" w:hAnsi="Times New Roman"/>
                <w:sz w:val="20"/>
                <w:szCs w:val="20"/>
              </w:rPr>
            </w:pPr>
          </w:p>
        </w:tc>
        <w:tc>
          <w:tcPr>
            <w:tcW w:w="1418" w:type="dxa"/>
            <w:vAlign w:val="center"/>
            <w:hideMark/>
          </w:tcPr>
          <w:p w:rsidR="00A9651D" w:rsidRPr="00D60728" w:rsidRDefault="00A9651D"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A9651D" w:rsidRPr="00D60728" w:rsidRDefault="00A9651D" w:rsidP="00BF7DCC">
            <w:pPr>
              <w:spacing w:line="240" w:lineRule="auto"/>
              <w:rPr>
                <w:rFonts w:ascii="Times New Roman" w:hAnsi="Times New Roman"/>
                <w:i/>
                <w:iCs/>
                <w:sz w:val="20"/>
                <w:szCs w:val="20"/>
              </w:rPr>
            </w:pPr>
            <w:r w:rsidRPr="000013EE">
              <w:rPr>
                <w:rFonts w:ascii="Times New Roman" w:hAnsi="Times New Roman"/>
                <w:i/>
                <w:iCs/>
                <w:sz w:val="20"/>
                <w:szCs w:val="20"/>
                <w:highlight w:val="yellow"/>
              </w:rPr>
              <w:t>Gradovi i općine</w:t>
            </w:r>
          </w:p>
        </w:tc>
      </w:tr>
      <w:tr w:rsidR="00621458" w:rsidRPr="00D60728" w:rsidTr="00A9651D">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Proračun gradova i općina</w:t>
            </w:r>
          </w:p>
        </w:tc>
      </w:tr>
      <w:tr w:rsidR="00A9651D" w:rsidRPr="00D60728" w:rsidTr="00A9651D">
        <w:trPr>
          <w:trHeight w:val="839"/>
        </w:trPr>
        <w:tc>
          <w:tcPr>
            <w:tcW w:w="1129" w:type="dxa"/>
            <w:vMerge w:val="restart"/>
            <w:vAlign w:val="center"/>
            <w:hideMark/>
          </w:tcPr>
          <w:p w:rsidR="00A9651D" w:rsidRPr="00D60728" w:rsidRDefault="00A9651D"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A9651D" w:rsidRPr="00D60728" w:rsidRDefault="00A9651D"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A9651D" w:rsidRPr="00D60728" w:rsidRDefault="00A9651D"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energetske potrošnje i emisija stakleničkih plinova</w:t>
            </w:r>
          </w:p>
        </w:tc>
      </w:tr>
      <w:tr w:rsidR="00A9651D" w:rsidRPr="00D60728" w:rsidTr="00A9651D">
        <w:trPr>
          <w:trHeight w:val="1304"/>
        </w:trPr>
        <w:tc>
          <w:tcPr>
            <w:tcW w:w="1129" w:type="dxa"/>
            <w:vMerge/>
            <w:vAlign w:val="center"/>
            <w:hideMark/>
          </w:tcPr>
          <w:p w:rsidR="00A9651D" w:rsidRPr="00D60728" w:rsidRDefault="00A9651D" w:rsidP="00BF7DCC">
            <w:pPr>
              <w:spacing w:line="240" w:lineRule="auto"/>
              <w:jc w:val="left"/>
              <w:rPr>
                <w:rFonts w:ascii="Times New Roman" w:hAnsi="Times New Roman"/>
                <w:sz w:val="20"/>
                <w:szCs w:val="20"/>
              </w:rPr>
            </w:pPr>
          </w:p>
        </w:tc>
        <w:tc>
          <w:tcPr>
            <w:tcW w:w="1418" w:type="dxa"/>
            <w:vAlign w:val="center"/>
          </w:tcPr>
          <w:p w:rsidR="00A9651D" w:rsidRPr="00D60728" w:rsidRDefault="00A9651D"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A9651D" w:rsidRPr="00D60728" w:rsidRDefault="00A9651D"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Broj općina i gradova potpisnika Sporazuma,</w:t>
            </w:r>
          </w:p>
          <w:p w:rsidR="00A9651D" w:rsidRPr="00D60728" w:rsidRDefault="00A9651D"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Broj izrađenih SECAP-ova,</w:t>
            </w:r>
          </w:p>
          <w:p w:rsidR="00A9651D" w:rsidRPr="00D60728" w:rsidRDefault="00A9651D"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Izvješća o napretku u provedbi plana na razini općine ili grada.</w:t>
            </w:r>
          </w:p>
        </w:tc>
      </w:tr>
    </w:tbl>
    <w:p w:rsidR="00621458" w:rsidRPr="00D60728" w:rsidRDefault="00621458" w:rsidP="00BF7DCC">
      <w:pPr>
        <w:spacing w:line="240" w:lineRule="auto"/>
        <w:rPr>
          <w:sz w:val="20"/>
          <w:szCs w:val="20"/>
        </w:rPr>
      </w:pPr>
    </w:p>
    <w:p w:rsidR="00A9651D" w:rsidRPr="00D60728" w:rsidRDefault="00A9651D"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621458" w:rsidRPr="006D54B7" w:rsidTr="00A9651D">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0013EE">
              <w:rPr>
                <w:rFonts w:ascii="Times New Roman" w:hAnsi="Times New Roman"/>
                <w:b/>
                <w:i/>
                <w:iCs/>
                <w:highlight w:val="yellow"/>
              </w:rPr>
              <w:t>Povelja o suradnji u cilju dekarbonizacije zgrada do 2050.</w:t>
            </w:r>
            <w:r w:rsidR="006D54B7" w:rsidRPr="000013EE">
              <w:rPr>
                <w:rFonts w:ascii="Times New Roman" w:hAnsi="Times New Roman"/>
                <w:b/>
                <w:i/>
                <w:iCs/>
                <w:highlight w:val="yellow"/>
              </w:rPr>
              <w:t xml:space="preserve"> godine</w:t>
            </w:r>
          </w:p>
        </w:tc>
      </w:tr>
      <w:tr w:rsidR="00621458" w:rsidRPr="00D60728" w:rsidTr="00A9651D">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MCC-7</w:t>
            </w:r>
          </w:p>
        </w:tc>
      </w:tr>
      <w:tr w:rsidR="00621458" w:rsidRPr="00D60728" w:rsidTr="00A9651D">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Informativna, obrazovna, regulatorna mjera</w:t>
            </w:r>
          </w:p>
        </w:tc>
      </w:tr>
      <w:tr w:rsidR="00621458" w:rsidRPr="00D60728" w:rsidTr="00A9651D">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4122AC"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r w:rsidR="00621458" w:rsidRPr="00D60728">
              <w:rPr>
                <w:rFonts w:ascii="Times New Roman" w:hAnsi="Times New Roman"/>
                <w:i/>
                <w:iCs/>
                <w:sz w:val="20"/>
                <w:szCs w:val="20"/>
              </w:rPr>
              <w:t>.</w:t>
            </w:r>
          </w:p>
        </w:tc>
      </w:tr>
      <w:tr w:rsidR="00621458" w:rsidRPr="00D60728" w:rsidTr="00A9651D">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4122AC"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r w:rsidR="00621458" w:rsidRPr="00D60728">
              <w:rPr>
                <w:rFonts w:ascii="Times New Roman" w:hAnsi="Times New Roman"/>
                <w:i/>
                <w:iCs/>
                <w:sz w:val="20"/>
                <w:szCs w:val="20"/>
              </w:rPr>
              <w:t>.</w:t>
            </w:r>
          </w:p>
        </w:tc>
      </w:tr>
      <w:tr w:rsidR="00621458" w:rsidRPr="00D60728" w:rsidTr="004122AC">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auto"/>
            <w:vAlign w:val="center"/>
          </w:tcPr>
          <w:p w:rsidR="00621458" w:rsidRPr="00D60728" w:rsidRDefault="00621458" w:rsidP="00BF7DCC">
            <w:pPr>
              <w:spacing w:line="240" w:lineRule="auto"/>
              <w:jc w:val="left"/>
              <w:rPr>
                <w:rFonts w:ascii="Times New Roman" w:hAnsi="Times New Roman"/>
                <w:i/>
                <w:iCs/>
                <w:sz w:val="20"/>
                <w:szCs w:val="20"/>
              </w:rPr>
            </w:pPr>
            <w:r w:rsidRPr="000013EE">
              <w:rPr>
                <w:rFonts w:ascii="Times New Roman" w:hAnsi="Times New Roman"/>
                <w:i/>
                <w:iCs/>
                <w:sz w:val="20"/>
                <w:szCs w:val="20"/>
                <w:highlight w:val="yellow"/>
              </w:rPr>
              <w:t>Putem radionica i Otvorenog dijaloga partnera stvoriti široku mrežu povezanih stručnjaka koji su spremni na dijalog i doprinos dekarbonizaciji fonda zgrada do 2050. godine.</w:t>
            </w:r>
          </w:p>
        </w:tc>
      </w:tr>
      <w:tr w:rsidR="004122AC" w:rsidRPr="00D60728" w:rsidTr="006D54B7">
        <w:trPr>
          <w:trHeight w:val="4400"/>
        </w:trPr>
        <w:tc>
          <w:tcPr>
            <w:tcW w:w="1129" w:type="dxa"/>
            <w:vMerge/>
            <w:vAlign w:val="center"/>
          </w:tcPr>
          <w:p w:rsidR="004122AC" w:rsidRPr="00D60728" w:rsidRDefault="004122AC" w:rsidP="00BF7DCC">
            <w:pPr>
              <w:spacing w:line="240" w:lineRule="auto"/>
              <w:jc w:val="left"/>
              <w:rPr>
                <w:rFonts w:ascii="Times New Roman" w:hAnsi="Times New Roman"/>
                <w:sz w:val="20"/>
                <w:szCs w:val="20"/>
              </w:rPr>
            </w:pPr>
          </w:p>
        </w:tc>
        <w:tc>
          <w:tcPr>
            <w:tcW w:w="1418" w:type="dxa"/>
            <w:vAlign w:val="center"/>
          </w:tcPr>
          <w:p w:rsidR="004122AC" w:rsidRPr="00D60728" w:rsidRDefault="004122AC"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4122AC" w:rsidRPr="00D60728" w:rsidRDefault="004122AC" w:rsidP="00BF7DCC">
            <w:pPr>
              <w:spacing w:line="240" w:lineRule="auto"/>
              <w:rPr>
                <w:rFonts w:ascii="Times New Roman" w:hAnsi="Times New Roman"/>
                <w:i/>
                <w:iCs/>
                <w:sz w:val="20"/>
                <w:szCs w:val="20"/>
              </w:rPr>
            </w:pPr>
            <w:r w:rsidRPr="00D60728">
              <w:rPr>
                <w:rFonts w:ascii="Times New Roman" w:hAnsi="Times New Roman"/>
                <w:i/>
                <w:iCs/>
                <w:sz w:val="20"/>
                <w:szCs w:val="20"/>
              </w:rPr>
              <w:t>Povelja o suradnji u cilju dekarbonizacije zgrada do 2050., koju je pokrenulo Ministarstvo graditeljstva i prostornoga uređenja, a kojom se podržava EU vizija dekarbonizacije zgrada do 2050. godine, pokrenuta je zbog bolje međuresorne komunikacije i suradnje između tijela državne uprave i privatnog sektora. Otvoreni dijalozi partnera okupljaju predstavnike državne i lokalne uprave, akademske zajednice i stručne javnosti, građevinskog i energetskog sektora te pratećih industrija na tematskim radionicama koje organizira Ministarstva graditeljstva i prostornoga uređenja. Sadržaj povelje odnosi se na postizanje energetskih i klimatskih ciljeva na nacionalnoj i EU razini kroz dekarbonizaciju fonda zgrada, obnovom zgrada i građenjem zgrada gotovo nulte energije, svjesni važnosti dodatnog smanjenja emisija stakleničkih plinova, povećanja udjela obnovljivih izvora energije, poboljšanja energetske sigurnosti te uvođenja inovacija i pametnih tehnologija koje omogućuju zgradama da potpomognu sveukupnu dekarbonizaciju gospodarstva. Potpisivanjem povelje potiče se kontinuirana suradnja na izradi Dugoročne strategije obnove nacionalnog fonda zgrada i prelazak na standard gradnje zgrada gotovo nulte energije (nZEB). Potpisnici Povelje pružaju potporu te promiču dekarbonizaciju zgrada u svojim daljnjim aktivnostima, gdje god je to moguće.</w:t>
            </w:r>
          </w:p>
        </w:tc>
      </w:tr>
      <w:tr w:rsidR="004122AC" w:rsidRPr="00D60728" w:rsidTr="004122AC">
        <w:trPr>
          <w:trHeight w:val="835"/>
        </w:trPr>
        <w:tc>
          <w:tcPr>
            <w:tcW w:w="1129" w:type="dxa"/>
            <w:vMerge w:val="restart"/>
            <w:vAlign w:val="center"/>
            <w:hideMark/>
          </w:tcPr>
          <w:p w:rsidR="004122AC" w:rsidRPr="00D60728" w:rsidRDefault="004122AC"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4122AC" w:rsidRPr="00D60728" w:rsidRDefault="004122AC"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4122AC" w:rsidRPr="00D60728" w:rsidRDefault="004122AC" w:rsidP="00BF7DCC">
            <w:pPr>
              <w:pStyle w:val="ListParagraph"/>
              <w:spacing w:line="240" w:lineRule="auto"/>
              <w:ind w:left="0"/>
              <w:contextualSpacing w:val="0"/>
              <w:rPr>
                <w:rFonts w:ascii="Times New Roman" w:hAnsi="Times New Roman"/>
                <w:i/>
                <w:sz w:val="20"/>
                <w:szCs w:val="20"/>
              </w:rPr>
            </w:pPr>
            <w:r w:rsidRPr="00D60728">
              <w:rPr>
                <w:rFonts w:ascii="Times New Roman" w:hAnsi="Times New Roman"/>
                <w:i/>
                <w:sz w:val="20"/>
                <w:szCs w:val="20"/>
              </w:rPr>
              <w:t>MGIPU</w:t>
            </w:r>
          </w:p>
        </w:tc>
      </w:tr>
      <w:tr w:rsidR="00621458" w:rsidRPr="00D60728" w:rsidTr="00A9651D">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ListParagraph"/>
              <w:spacing w:line="240" w:lineRule="auto"/>
              <w:ind w:left="317"/>
              <w:contextualSpacing w:val="0"/>
              <w:jc w:val="left"/>
              <w:rPr>
                <w:rFonts w:ascii="Times New Roman" w:hAnsi="Times New Roman"/>
                <w:i/>
                <w:iCs/>
                <w:sz w:val="20"/>
                <w:szCs w:val="20"/>
              </w:rPr>
            </w:pPr>
            <w:r w:rsidRPr="00D60728">
              <w:rPr>
                <w:rFonts w:ascii="Times New Roman" w:hAnsi="Times New Roman"/>
                <w:i/>
                <w:iCs/>
                <w:sz w:val="20"/>
                <w:szCs w:val="20"/>
              </w:rPr>
              <w:t xml:space="preserve"> </w:t>
            </w:r>
          </w:p>
        </w:tc>
      </w:tr>
      <w:tr w:rsidR="00E83775" w:rsidRPr="00D60728" w:rsidTr="00975DF5">
        <w:trPr>
          <w:trHeight w:val="839"/>
        </w:trPr>
        <w:tc>
          <w:tcPr>
            <w:tcW w:w="1129" w:type="dxa"/>
            <w:vMerge w:val="restart"/>
            <w:vAlign w:val="center"/>
            <w:hideMark/>
          </w:tcPr>
          <w:p w:rsidR="00E83775" w:rsidRPr="00D60728" w:rsidRDefault="00E83775"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E83775" w:rsidRPr="00D60728" w:rsidRDefault="00E83775"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E83775" w:rsidRPr="00D60728" w:rsidRDefault="00AC2889" w:rsidP="00BF7DCC">
            <w:pPr>
              <w:pStyle w:val="ListParagraph"/>
              <w:numPr>
                <w:ilvl w:val="0"/>
                <w:numId w:val="63"/>
              </w:numPr>
              <w:spacing w:line="240" w:lineRule="auto"/>
              <w:ind w:left="284" w:hanging="284"/>
              <w:rPr>
                <w:rFonts w:ascii="Times New Roman" w:hAnsi="Times New Roman"/>
                <w:i/>
                <w:iCs/>
                <w:sz w:val="20"/>
                <w:szCs w:val="20"/>
              </w:rPr>
            </w:pPr>
            <w:r w:rsidRPr="00D60728">
              <w:rPr>
                <w:rFonts w:ascii="Times New Roman" w:hAnsi="Times New Roman"/>
                <w:i/>
                <w:iCs/>
                <w:sz w:val="20"/>
                <w:szCs w:val="20"/>
              </w:rPr>
              <w:t>smanjenja emisija stakleničkih plinova, povećanja udjela obnovljivih izvora energije, poboljšanja energetske sigurnosti te uvođenja inovacija i pametnih tehnologija koje omogućuju zgradama da potpomognu sveukupnu dekarbonizaciju gospodarstva</w:t>
            </w:r>
          </w:p>
        </w:tc>
      </w:tr>
      <w:tr w:rsidR="00E83775" w:rsidRPr="00D60728" w:rsidTr="00975DF5">
        <w:trPr>
          <w:trHeight w:val="1120"/>
        </w:trPr>
        <w:tc>
          <w:tcPr>
            <w:tcW w:w="1129" w:type="dxa"/>
            <w:vMerge/>
            <w:vAlign w:val="center"/>
            <w:hideMark/>
          </w:tcPr>
          <w:p w:rsidR="00E83775" w:rsidRPr="00D60728" w:rsidRDefault="00E83775" w:rsidP="00BF7DCC">
            <w:pPr>
              <w:spacing w:line="240" w:lineRule="auto"/>
              <w:jc w:val="left"/>
              <w:rPr>
                <w:rFonts w:ascii="Times New Roman" w:hAnsi="Times New Roman"/>
                <w:sz w:val="20"/>
                <w:szCs w:val="20"/>
              </w:rPr>
            </w:pPr>
          </w:p>
        </w:tc>
        <w:tc>
          <w:tcPr>
            <w:tcW w:w="1418" w:type="dxa"/>
            <w:vAlign w:val="center"/>
          </w:tcPr>
          <w:p w:rsidR="00E83775" w:rsidRPr="00D60728" w:rsidRDefault="00E83775"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E83775" w:rsidRPr="00D60728" w:rsidRDefault="00AC2889" w:rsidP="00BF7DCC">
            <w:pPr>
              <w:pStyle w:val="ListParagraph"/>
              <w:numPr>
                <w:ilvl w:val="0"/>
                <w:numId w:val="31"/>
              </w:numPr>
              <w:spacing w:line="240" w:lineRule="auto"/>
              <w:ind w:left="279" w:hanging="283"/>
              <w:contextualSpacing w:val="0"/>
              <w:jc w:val="left"/>
              <w:rPr>
                <w:rFonts w:ascii="Times New Roman" w:hAnsi="Times New Roman"/>
                <w:i/>
                <w:sz w:val="20"/>
                <w:szCs w:val="20"/>
              </w:rPr>
            </w:pPr>
            <w:r w:rsidRPr="00D60728">
              <w:rPr>
                <w:rFonts w:ascii="Times New Roman" w:hAnsi="Times New Roman"/>
                <w:i/>
                <w:sz w:val="20"/>
                <w:szCs w:val="20"/>
              </w:rPr>
              <w:t>Broj potpisnika Povelje</w:t>
            </w:r>
          </w:p>
        </w:tc>
      </w:tr>
    </w:tbl>
    <w:p w:rsidR="00621458" w:rsidRPr="00D60728" w:rsidRDefault="00621458" w:rsidP="00BF7DCC">
      <w:pPr>
        <w:spacing w:line="240" w:lineRule="auto"/>
        <w:rPr>
          <w:sz w:val="20"/>
          <w:szCs w:val="20"/>
        </w:rPr>
      </w:pPr>
    </w:p>
    <w:p w:rsidR="00AC2889" w:rsidRPr="00D60728" w:rsidRDefault="00AC2889" w:rsidP="00BF7DCC">
      <w:pPr>
        <w:spacing w:line="240" w:lineRule="auto"/>
        <w:rPr>
          <w:sz w:val="20"/>
          <w:szCs w:val="20"/>
        </w:rPr>
      </w:pPr>
      <w:r w:rsidRPr="00D60728">
        <w:rPr>
          <w:sz w:val="20"/>
          <w:szCs w:val="20"/>
        </w:rPr>
        <w:br w:type="page"/>
      </w:r>
    </w:p>
    <w:tbl>
      <w:tblPr>
        <w:tblStyle w:val="TableGrid"/>
        <w:tblW w:w="9175" w:type="dxa"/>
        <w:tblLayout w:type="fixed"/>
        <w:tblLook w:val="04A0" w:firstRow="1" w:lastRow="0" w:firstColumn="1" w:lastColumn="0" w:noHBand="0" w:noVBand="1"/>
      </w:tblPr>
      <w:tblGrid>
        <w:gridCol w:w="1129"/>
        <w:gridCol w:w="1418"/>
        <w:gridCol w:w="6628"/>
      </w:tblGrid>
      <w:tr w:rsidR="00621458" w:rsidRPr="006D54B7" w:rsidTr="00AC2889">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lastRenderedPageBreak/>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vertAlign w:val="subscript"/>
              </w:rPr>
            </w:pPr>
            <w:r w:rsidRPr="006D54B7">
              <w:rPr>
                <w:rFonts w:ascii="Times New Roman" w:hAnsi="Times New Roman"/>
                <w:b/>
                <w:i/>
                <w:iCs/>
              </w:rPr>
              <w:t>Uspostava platforme za prikupljanje, uporabu i skladištenje CO</w:t>
            </w:r>
            <w:r w:rsidRPr="006D54B7">
              <w:rPr>
                <w:rFonts w:ascii="Times New Roman" w:hAnsi="Times New Roman"/>
                <w:b/>
                <w:i/>
                <w:iCs/>
                <w:vertAlign w:val="subscript"/>
              </w:rPr>
              <w:t>2</w:t>
            </w:r>
          </w:p>
        </w:tc>
      </w:tr>
      <w:tr w:rsidR="00621458" w:rsidRPr="00D60728" w:rsidTr="00AC2889">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MCC-8</w:t>
            </w:r>
          </w:p>
        </w:tc>
      </w:tr>
      <w:tr w:rsidR="00621458" w:rsidRPr="00D60728" w:rsidTr="00AC2889">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Istraživačko-analitička mjera; Financijska mjera</w:t>
            </w:r>
          </w:p>
        </w:tc>
      </w:tr>
      <w:tr w:rsidR="00621458" w:rsidRPr="00D60728" w:rsidTr="00AC2889">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621458" w:rsidRPr="00D60728" w:rsidTr="00AC2889">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0A5963" w:rsidRPr="00D60728">
              <w:rPr>
                <w:rFonts w:ascii="Times New Roman" w:hAnsi="Times New Roman"/>
                <w:i/>
                <w:iCs/>
                <w:sz w:val="20"/>
                <w:szCs w:val="20"/>
              </w:rPr>
              <w:t>24</w:t>
            </w:r>
            <w:r w:rsidRPr="00D60728">
              <w:rPr>
                <w:rFonts w:ascii="Times New Roman" w:hAnsi="Times New Roman"/>
                <w:i/>
                <w:iCs/>
                <w:sz w:val="20"/>
                <w:szCs w:val="20"/>
              </w:rPr>
              <w:t>.</w:t>
            </w:r>
          </w:p>
        </w:tc>
      </w:tr>
      <w:tr w:rsidR="00621458" w:rsidRPr="00D60728" w:rsidTr="000A5963">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auto"/>
            <w:vAlign w:val="center"/>
          </w:tcPr>
          <w:p w:rsidR="00621458" w:rsidRPr="00D60728" w:rsidRDefault="000A596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Izrada studije procjene skladišnih kapaciteta, ali i izrada Nacionalne studije izvodljivosti s akcijskim planom za pripremne aktivnosti za projekte prikupljanja i skladištenja ugljika.</w:t>
            </w:r>
          </w:p>
        </w:tc>
      </w:tr>
      <w:tr w:rsidR="000A5963" w:rsidRPr="00D60728" w:rsidTr="006D54B7">
        <w:trPr>
          <w:trHeight w:val="5467"/>
        </w:trPr>
        <w:tc>
          <w:tcPr>
            <w:tcW w:w="1129" w:type="dxa"/>
            <w:vMerge/>
            <w:vAlign w:val="center"/>
          </w:tcPr>
          <w:p w:rsidR="000A5963" w:rsidRPr="00D60728" w:rsidRDefault="000A5963" w:rsidP="00BF7DCC">
            <w:pPr>
              <w:spacing w:line="240" w:lineRule="auto"/>
              <w:jc w:val="left"/>
              <w:rPr>
                <w:rFonts w:ascii="Times New Roman" w:hAnsi="Times New Roman"/>
                <w:sz w:val="20"/>
                <w:szCs w:val="20"/>
              </w:rPr>
            </w:pPr>
          </w:p>
        </w:tc>
        <w:tc>
          <w:tcPr>
            <w:tcW w:w="1418" w:type="dxa"/>
            <w:vAlign w:val="center"/>
          </w:tcPr>
          <w:p w:rsidR="000A5963" w:rsidRPr="00D60728" w:rsidRDefault="000A5963"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0A5963" w:rsidRPr="00D60728" w:rsidRDefault="000A5963"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Tehnologija sakupljanja i pohrane ugljika za velike izvore emisije još nije komercijalno dostupna. Prema Direktivi 2009/31/EC o geološkoj pohrani ugljikovog dioksida, odnosno članku 36. Direktive 2010/75/EU o industrijskim emisijama, za elektrane kapaciteta većih od 300 MW koje su dobile građevinsku dozvolu nakon stupanja na snagu Direktive 2009/31/EK o geološkoj pohrani ugljikovog dioksida, potrebno je ocijeniti jesu li zadovoljeni sljedeći uvjeti: a) dostupnost prikladne lokacije za pohranu, b) tehnička i ekonomska izvedivost transportnih postrojenja i c) tehnička i ekonomska izvedivost nadogradnje postrojenja za izdvajanje i sakupljanje CO2. Ako su ovi uvjeti zadovoljeni, nadležno tijelo mora osigurati na mjestu postrojenja odgovarajući prostor za opremu za hvatanje i komprimiranje izvučenog CO2. Zakonodavno je to obuhvaćeno Zakonom o istraživanju i eksploataciji ugljikovodika (NN 52/18, 52/19) koji omogućuje skladištenje CO2 na prostoru Republike Hrvatske. Ova metoda se treba još dodatno razviti te se trebaju razmotriti potencijali i mogućnosti za ovu tehnologiju na razini države. U skladu s navedenim planira se izrada studije procjene skladišnih kapaciteta, ali i izrada Nacionalne studije izvodljivosti s akcijskim planom za pripremne aktivnosti za projekte prikupljanja i skladištenja ugljika. Ova će studija obuhvatiti faze hvatanja na izvorima emisija, transport, utiskivanje i skladištenje CO2, te povezanost sustava transporta CO2 s drugim EU zemljama. </w:t>
            </w:r>
          </w:p>
          <w:p w:rsidR="000A5963" w:rsidRPr="00D60728" w:rsidRDefault="000A5963" w:rsidP="00BF7DCC">
            <w:pPr>
              <w:spacing w:line="240" w:lineRule="auto"/>
              <w:rPr>
                <w:rFonts w:ascii="Times New Roman" w:hAnsi="Times New Roman"/>
                <w:i/>
                <w:iCs/>
                <w:sz w:val="20"/>
                <w:szCs w:val="20"/>
              </w:rPr>
            </w:pPr>
            <w:r w:rsidRPr="00D60728">
              <w:rPr>
                <w:rFonts w:ascii="Times New Roman" w:hAnsi="Times New Roman"/>
                <w:i/>
                <w:iCs/>
                <w:sz w:val="20"/>
                <w:szCs w:val="20"/>
              </w:rPr>
              <w:t>Također, planira se informiranje javnosti o tehnologiji prikupljanja i skladištenja ugljikova dioksida.</w:t>
            </w:r>
          </w:p>
        </w:tc>
      </w:tr>
      <w:tr w:rsidR="00621458" w:rsidRPr="00D60728" w:rsidTr="00AC2889">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ListParagraph"/>
              <w:numPr>
                <w:ilvl w:val="1"/>
                <w:numId w:val="52"/>
              </w:numPr>
              <w:spacing w:line="240" w:lineRule="auto"/>
              <w:ind w:left="284" w:hanging="284"/>
              <w:rPr>
                <w:rFonts w:ascii="Times New Roman" w:hAnsi="Times New Roman"/>
                <w:i/>
                <w:sz w:val="20"/>
                <w:szCs w:val="20"/>
              </w:rPr>
            </w:pPr>
            <w:r w:rsidRPr="00D60728">
              <w:rPr>
                <w:rFonts w:ascii="Times New Roman" w:hAnsi="Times New Roman"/>
                <w:i/>
                <w:sz w:val="20"/>
                <w:szCs w:val="20"/>
              </w:rPr>
              <w:t>Provedba istraživanja potencijala za geološko skladištenje CO2 u Republici Hrvatskoj;</w:t>
            </w:r>
          </w:p>
          <w:p w:rsidR="00621458" w:rsidRPr="00D60728" w:rsidRDefault="00621458" w:rsidP="00BF7DCC">
            <w:pPr>
              <w:pStyle w:val="ListParagraph"/>
              <w:numPr>
                <w:ilvl w:val="1"/>
                <w:numId w:val="52"/>
              </w:numPr>
              <w:spacing w:line="240" w:lineRule="auto"/>
              <w:ind w:left="284" w:hanging="284"/>
              <w:rPr>
                <w:rFonts w:ascii="Times New Roman" w:hAnsi="Times New Roman"/>
                <w:i/>
                <w:sz w:val="20"/>
                <w:szCs w:val="20"/>
              </w:rPr>
            </w:pPr>
            <w:r w:rsidRPr="00D60728">
              <w:rPr>
                <w:rFonts w:ascii="Times New Roman" w:hAnsi="Times New Roman"/>
                <w:i/>
                <w:sz w:val="20"/>
                <w:szCs w:val="20"/>
              </w:rPr>
              <w:t>Izrada/dopune studije procjene skladišnih kapaciteta koji su dostupni na području Republike Hrvatske;</w:t>
            </w:r>
          </w:p>
          <w:p w:rsidR="00621458" w:rsidRPr="00D60728" w:rsidRDefault="00621458" w:rsidP="00BF7DCC">
            <w:pPr>
              <w:pStyle w:val="ListParagraph"/>
              <w:numPr>
                <w:ilvl w:val="1"/>
                <w:numId w:val="52"/>
              </w:numPr>
              <w:spacing w:line="240" w:lineRule="auto"/>
              <w:ind w:left="284" w:hanging="284"/>
              <w:rPr>
                <w:rFonts w:ascii="Times New Roman" w:hAnsi="Times New Roman"/>
                <w:i/>
                <w:sz w:val="20"/>
                <w:szCs w:val="20"/>
              </w:rPr>
            </w:pPr>
            <w:r w:rsidRPr="00D60728">
              <w:rPr>
                <w:rFonts w:ascii="Times New Roman" w:hAnsi="Times New Roman"/>
                <w:i/>
                <w:sz w:val="20"/>
                <w:szCs w:val="20"/>
              </w:rPr>
              <w:t>Provedba projekata geološkog skladištenja CO2 u Republici Hrvatskoj u skladu s izraženim potencijalima;</w:t>
            </w:r>
          </w:p>
          <w:p w:rsidR="00621458" w:rsidRPr="00D60728" w:rsidRDefault="00621458" w:rsidP="00BF7DCC">
            <w:pPr>
              <w:pStyle w:val="ListParagraph"/>
              <w:numPr>
                <w:ilvl w:val="1"/>
                <w:numId w:val="52"/>
              </w:numPr>
              <w:spacing w:line="240" w:lineRule="auto"/>
              <w:ind w:left="284" w:hanging="284"/>
              <w:rPr>
                <w:rFonts w:ascii="Times New Roman" w:hAnsi="Times New Roman"/>
                <w:i/>
                <w:sz w:val="20"/>
                <w:szCs w:val="20"/>
              </w:rPr>
            </w:pPr>
            <w:r w:rsidRPr="00D60728">
              <w:rPr>
                <w:rFonts w:ascii="Times New Roman" w:hAnsi="Times New Roman"/>
                <w:i/>
                <w:sz w:val="20"/>
                <w:szCs w:val="20"/>
              </w:rPr>
              <w:t>Informiranje zainteresirane javnosti o tehnologiji prikupljanja i skladištenja CO2.</w:t>
            </w:r>
          </w:p>
        </w:tc>
      </w:tr>
      <w:tr w:rsidR="00940092" w:rsidRPr="00D60728" w:rsidTr="00975DF5">
        <w:trPr>
          <w:trHeight w:val="1024"/>
        </w:trPr>
        <w:tc>
          <w:tcPr>
            <w:tcW w:w="1129" w:type="dxa"/>
            <w:vMerge/>
            <w:vAlign w:val="center"/>
            <w:hideMark/>
          </w:tcPr>
          <w:p w:rsidR="00940092" w:rsidRPr="00D60728" w:rsidRDefault="00940092" w:rsidP="00BF7DCC">
            <w:pPr>
              <w:spacing w:line="240" w:lineRule="auto"/>
              <w:jc w:val="left"/>
              <w:rPr>
                <w:rFonts w:ascii="Times New Roman" w:hAnsi="Times New Roman"/>
                <w:sz w:val="20"/>
                <w:szCs w:val="20"/>
              </w:rPr>
            </w:pPr>
          </w:p>
        </w:tc>
        <w:tc>
          <w:tcPr>
            <w:tcW w:w="1418" w:type="dxa"/>
            <w:vAlign w:val="center"/>
            <w:hideMark/>
          </w:tcPr>
          <w:p w:rsidR="00940092" w:rsidRPr="00D60728" w:rsidRDefault="00940092"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940092" w:rsidRPr="00D60728" w:rsidRDefault="00940092"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p w:rsidR="00940092" w:rsidRPr="00D60728" w:rsidRDefault="00940092" w:rsidP="00BF7DCC">
            <w:pPr>
              <w:spacing w:line="240" w:lineRule="auto"/>
              <w:rPr>
                <w:rFonts w:ascii="Times New Roman" w:hAnsi="Times New Roman"/>
                <w:i/>
                <w:iCs/>
                <w:sz w:val="20"/>
                <w:szCs w:val="20"/>
              </w:rPr>
            </w:pPr>
            <w:r w:rsidRPr="00D60728">
              <w:rPr>
                <w:rFonts w:ascii="Times New Roman" w:hAnsi="Times New Roman"/>
                <w:i/>
                <w:iCs/>
                <w:sz w:val="20"/>
                <w:szCs w:val="20"/>
              </w:rPr>
              <w:t>AZU</w:t>
            </w:r>
          </w:p>
        </w:tc>
      </w:tr>
      <w:tr w:rsidR="00621458" w:rsidRPr="00D60728" w:rsidTr="00AC2889">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1.000.000 kn za studiju i akcijski plan, a za provedbu projekata iznos će se odrediti nakon analize potencijala</w:t>
            </w:r>
          </w:p>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EU sredstva</w:t>
            </w:r>
          </w:p>
        </w:tc>
      </w:tr>
      <w:tr w:rsidR="00896FE8" w:rsidRPr="00D60728" w:rsidTr="00975DF5">
        <w:trPr>
          <w:trHeight w:val="839"/>
        </w:trPr>
        <w:tc>
          <w:tcPr>
            <w:tcW w:w="1129" w:type="dxa"/>
            <w:vMerge w:val="restart"/>
            <w:vAlign w:val="center"/>
            <w:hideMark/>
          </w:tcPr>
          <w:p w:rsidR="00896FE8" w:rsidRPr="00D60728" w:rsidRDefault="00896FE8"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896FE8" w:rsidRPr="00D60728" w:rsidRDefault="00896FE8"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896FE8" w:rsidRPr="00D60728" w:rsidRDefault="00896FE8"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emisija stakleničkih plinova</w:t>
            </w:r>
          </w:p>
        </w:tc>
      </w:tr>
      <w:tr w:rsidR="00896FE8" w:rsidRPr="00D60728" w:rsidTr="00896FE8">
        <w:trPr>
          <w:trHeight w:val="1263"/>
        </w:trPr>
        <w:tc>
          <w:tcPr>
            <w:tcW w:w="1129" w:type="dxa"/>
            <w:vMerge/>
            <w:vAlign w:val="center"/>
            <w:hideMark/>
          </w:tcPr>
          <w:p w:rsidR="00896FE8" w:rsidRPr="00D60728" w:rsidRDefault="00896FE8" w:rsidP="00BF7DCC">
            <w:pPr>
              <w:spacing w:line="240" w:lineRule="auto"/>
              <w:jc w:val="left"/>
              <w:rPr>
                <w:rFonts w:ascii="Times New Roman" w:hAnsi="Times New Roman"/>
                <w:sz w:val="20"/>
                <w:szCs w:val="20"/>
              </w:rPr>
            </w:pPr>
          </w:p>
        </w:tc>
        <w:tc>
          <w:tcPr>
            <w:tcW w:w="1418" w:type="dxa"/>
            <w:vAlign w:val="center"/>
          </w:tcPr>
          <w:p w:rsidR="00896FE8" w:rsidRPr="00D60728" w:rsidRDefault="00896FE8"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896FE8" w:rsidRPr="00D60728" w:rsidRDefault="00896FE8"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Istraživanje će se pratiti putem objava</w:t>
            </w:r>
          </w:p>
          <w:p w:rsidR="00896FE8" w:rsidRPr="00D60728" w:rsidRDefault="00896FE8"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Projekti geološkog skladištenja CO</w:t>
            </w:r>
            <w:r w:rsidRPr="00D60728">
              <w:rPr>
                <w:rFonts w:ascii="Times New Roman" w:hAnsi="Times New Roman"/>
                <w:i/>
                <w:sz w:val="20"/>
                <w:szCs w:val="20"/>
                <w:vertAlign w:val="subscript"/>
              </w:rPr>
              <w:t>2</w:t>
            </w:r>
            <w:r w:rsidRPr="00D60728">
              <w:rPr>
                <w:rFonts w:ascii="Times New Roman" w:hAnsi="Times New Roman"/>
                <w:i/>
                <w:sz w:val="20"/>
                <w:szCs w:val="20"/>
              </w:rPr>
              <w:t xml:space="preserve"> će se pratiti izvještajima koja tijela koja provode projekte upućuju nadležnom tijelu te izvještajima koje nadležno tijelo upućuje u EK.</w:t>
            </w:r>
          </w:p>
        </w:tc>
      </w:tr>
    </w:tbl>
    <w:p w:rsidR="00621458" w:rsidRPr="00D60728" w:rsidRDefault="00621458" w:rsidP="00BF7DCC">
      <w:pPr>
        <w:spacing w:line="240" w:lineRule="auto"/>
        <w:rPr>
          <w:sz w:val="20"/>
          <w:szCs w:val="20"/>
        </w:rPr>
      </w:pPr>
    </w:p>
    <w:p w:rsidR="00896FE8" w:rsidRPr="00D60728" w:rsidRDefault="00896FE8"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621458" w:rsidRPr="006D54B7" w:rsidTr="008D26B3">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0013EE">
              <w:rPr>
                <w:rFonts w:ascii="Times New Roman" w:hAnsi="Times New Roman"/>
                <w:b/>
                <w:i/>
                <w:iCs/>
                <w:highlight w:val="yellow"/>
              </w:rPr>
              <w:t>Unaprjeđenje održivosti urbanih sredina</w:t>
            </w:r>
          </w:p>
        </w:tc>
      </w:tr>
      <w:tr w:rsidR="00621458" w:rsidRPr="00D60728" w:rsidTr="008D26B3">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MCC-9</w:t>
            </w:r>
          </w:p>
        </w:tc>
      </w:tr>
      <w:tr w:rsidR="00621458" w:rsidRPr="00D60728" w:rsidTr="008D26B3">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Istraživačko-analitička mjera; Financijska mjera</w:t>
            </w:r>
          </w:p>
        </w:tc>
      </w:tr>
      <w:tr w:rsidR="00621458" w:rsidRPr="00D60728" w:rsidTr="008D26B3">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621458" w:rsidRPr="00D60728" w:rsidTr="008D26B3">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8D26B3" w:rsidRPr="00D60728">
              <w:rPr>
                <w:rFonts w:ascii="Times New Roman" w:hAnsi="Times New Roman"/>
                <w:i/>
                <w:iCs/>
                <w:sz w:val="20"/>
                <w:szCs w:val="20"/>
              </w:rPr>
              <w:t>24</w:t>
            </w:r>
            <w:r w:rsidRPr="00D60728">
              <w:rPr>
                <w:rFonts w:ascii="Times New Roman" w:hAnsi="Times New Roman"/>
                <w:i/>
                <w:iCs/>
                <w:sz w:val="20"/>
                <w:szCs w:val="20"/>
              </w:rPr>
              <w:t>.</w:t>
            </w:r>
          </w:p>
        </w:tc>
      </w:tr>
      <w:tr w:rsidR="00621458" w:rsidRPr="00D60728" w:rsidTr="008D26B3">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Poticanje gradova i općina da projekte revitalizacije i razvoja novih urbanih sredina temelje na principima održivosti.</w:t>
            </w:r>
          </w:p>
        </w:tc>
      </w:tr>
      <w:tr w:rsidR="008D26B3" w:rsidRPr="00D60728" w:rsidTr="006D54B7">
        <w:trPr>
          <w:trHeight w:val="7656"/>
        </w:trPr>
        <w:tc>
          <w:tcPr>
            <w:tcW w:w="1129" w:type="dxa"/>
            <w:vMerge/>
            <w:vAlign w:val="center"/>
          </w:tcPr>
          <w:p w:rsidR="008D26B3" w:rsidRPr="00D60728" w:rsidRDefault="008D26B3" w:rsidP="00BF7DCC">
            <w:pPr>
              <w:spacing w:line="240" w:lineRule="auto"/>
              <w:jc w:val="left"/>
              <w:rPr>
                <w:rFonts w:ascii="Times New Roman" w:hAnsi="Times New Roman"/>
                <w:sz w:val="20"/>
                <w:szCs w:val="20"/>
              </w:rPr>
            </w:pPr>
          </w:p>
        </w:tc>
        <w:tc>
          <w:tcPr>
            <w:tcW w:w="1418" w:type="dxa"/>
            <w:vAlign w:val="center"/>
          </w:tcPr>
          <w:p w:rsidR="008D26B3" w:rsidRPr="00D60728" w:rsidRDefault="008D26B3"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8D26B3" w:rsidRPr="00D60728" w:rsidRDefault="008D26B3" w:rsidP="00BF7DCC">
            <w:pPr>
              <w:spacing w:line="240" w:lineRule="auto"/>
              <w:rPr>
                <w:rFonts w:ascii="Times New Roman" w:hAnsi="Times New Roman"/>
                <w:i/>
                <w:iCs/>
                <w:sz w:val="20"/>
                <w:szCs w:val="20"/>
              </w:rPr>
            </w:pPr>
            <w:r w:rsidRPr="00D60728">
              <w:rPr>
                <w:rFonts w:ascii="Times New Roman" w:hAnsi="Times New Roman"/>
                <w:i/>
                <w:iCs/>
                <w:sz w:val="20"/>
                <w:szCs w:val="20"/>
              </w:rPr>
              <w:t>MGIPU je u procesu izrade novih nacionalnih Programa razvoja zelene infrastrukture u urbanim područjima i Programa razvoja kružnog gospodarenja prostorom i zgradama, kojima se postižu ekološke, gospodarske i društvene koristi održivog razvoja. Programom razvoja zelene infrastrukture u urbanim područjima razrađuju se ciljevi i mjere za razvoj zelene infrastrukture kojima se između ostaloga utječe na povećanje energetske učinkovitosti zgrada i građevinskih područja, razvoj zelene infrastrukture u zgradarstvu, urbanu preobrazbu i urbanu sanaciju te smanjenje temperature u područjima toplinskih otoka u urbanim područjima. Programom razvoja kružnog gospodarenja prostorom i zgradama razrađuju se ciljevi i mjere za kružno gospodarenje prostorom i zgradama kojima se između ostaloga potiču mjere kružnosti kod planiranja novih zgrada, ponovno korištenje napuštenih i/ili zapuštenih i produljenje trajnosti postojećih prostora i zgrada, smanjenje količine građevinskog otpada te povećanje energetske učinkovitosti zgrada. Cilj ove mjere je potaknuti gradove i općine da projekte revitalizacije i razvoja novih urbanih sredina temelje na principima održivosti. Prvi korak u tome je izrada razvojnih planova urbanih sredina, u kojima će se na temelju ocjene pokazatelja održivosti, definirati razvojni projekti kojima će se navedeni pokazatelji unaprijediti. Osim toga, za te projekte će se osigurati sufinanciranje iz ESI fondova u razdoblju 2021.-2027.(2030). MGIPU, kao ministarstvo nadležno za pitanja održivog razvoja urbanih sredina, će definirati ključne pokazatelje održivosti, koji će uključivati pokazatelje iz područja izgrađenog prostora, ekonomije, energetike, emisija u atmosferu, korištenja prirodnih resursa, okoliša i društvenih aspekata, a koji će se morati pratiti kako na nacionalnoj razini tako i na lokalnoj razini. Mjera će omogućiti unaprjeđenje održivog razvoja direktnijim povezivanjem strateških i prostorno-planskih dokumenata i uvođenjem mjerenja uspješnosti planiranih te provedenih projekata. U sklopu mjere osigurat će se i financijska potpora ovakvim projektima i to iz ESI fondova, u skladu s ciljem za razdoblje 2021.-2027. PO2 – „Zelenija Europa s niskom razinom emisija ugljika promicanjem prelaska na čistu i pravednu energiju, zelenih i plavih ulaganja, kružnog gospodarstva, prilagodbe klimatskim promjenama i upravljanja rizikom i njegova sprječavanja“.</w:t>
            </w:r>
          </w:p>
        </w:tc>
      </w:tr>
      <w:tr w:rsidR="00621458" w:rsidRPr="00D60728" w:rsidTr="008D26B3">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ListParagraph"/>
              <w:numPr>
                <w:ilvl w:val="0"/>
                <w:numId w:val="53"/>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Izrada Programa razvoja zelene infrastrukture u urbanim područjima; </w:t>
            </w:r>
          </w:p>
          <w:p w:rsidR="00621458" w:rsidRPr="00D60728" w:rsidRDefault="00621458" w:rsidP="00BF7DCC">
            <w:pPr>
              <w:pStyle w:val="ListParagraph"/>
              <w:numPr>
                <w:ilvl w:val="0"/>
                <w:numId w:val="53"/>
              </w:numPr>
              <w:spacing w:line="240" w:lineRule="auto"/>
              <w:ind w:left="284" w:hanging="284"/>
              <w:rPr>
                <w:rFonts w:ascii="Times New Roman" w:hAnsi="Times New Roman"/>
                <w:i/>
                <w:sz w:val="20"/>
                <w:szCs w:val="20"/>
              </w:rPr>
            </w:pPr>
            <w:r w:rsidRPr="00D60728">
              <w:rPr>
                <w:rFonts w:ascii="Times New Roman" w:hAnsi="Times New Roman"/>
                <w:i/>
                <w:sz w:val="20"/>
                <w:szCs w:val="20"/>
              </w:rPr>
              <w:t>Izrada Programa razvoja kružnog gospodarenja prostorom i</w:t>
            </w:r>
          </w:p>
          <w:p w:rsidR="00621458" w:rsidRPr="00D60728" w:rsidRDefault="00621458" w:rsidP="00BF7DCC">
            <w:pPr>
              <w:pStyle w:val="ListParagraph"/>
              <w:numPr>
                <w:ilvl w:val="0"/>
                <w:numId w:val="53"/>
              </w:numPr>
              <w:spacing w:line="240" w:lineRule="auto"/>
              <w:ind w:left="284" w:hanging="284"/>
              <w:rPr>
                <w:rFonts w:ascii="Times New Roman" w:hAnsi="Times New Roman"/>
                <w:i/>
                <w:sz w:val="20"/>
                <w:szCs w:val="20"/>
              </w:rPr>
            </w:pPr>
            <w:r w:rsidRPr="00D60728">
              <w:rPr>
                <w:rFonts w:ascii="Times New Roman" w:hAnsi="Times New Roman"/>
                <w:i/>
                <w:sz w:val="20"/>
                <w:szCs w:val="20"/>
              </w:rPr>
              <w:t>Provedba projekata zelene infrastrukture i kružnog gospodarenja prostorom kroz programe sufinanciranja iz EU sredstava.</w:t>
            </w:r>
          </w:p>
        </w:tc>
      </w:tr>
      <w:tr w:rsidR="008D26B3" w:rsidRPr="00D60728" w:rsidTr="00975DF5">
        <w:trPr>
          <w:trHeight w:val="918"/>
        </w:trPr>
        <w:tc>
          <w:tcPr>
            <w:tcW w:w="1129" w:type="dxa"/>
            <w:vMerge/>
            <w:vAlign w:val="center"/>
            <w:hideMark/>
          </w:tcPr>
          <w:p w:rsidR="008D26B3" w:rsidRPr="00D60728" w:rsidRDefault="008D26B3" w:rsidP="00BF7DCC">
            <w:pPr>
              <w:spacing w:line="240" w:lineRule="auto"/>
              <w:jc w:val="left"/>
              <w:rPr>
                <w:rFonts w:ascii="Times New Roman" w:hAnsi="Times New Roman"/>
                <w:sz w:val="20"/>
                <w:szCs w:val="20"/>
              </w:rPr>
            </w:pPr>
          </w:p>
        </w:tc>
        <w:tc>
          <w:tcPr>
            <w:tcW w:w="1418" w:type="dxa"/>
            <w:vAlign w:val="center"/>
            <w:hideMark/>
          </w:tcPr>
          <w:p w:rsidR="008D26B3" w:rsidRPr="00D60728" w:rsidRDefault="008D26B3"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8D26B3" w:rsidRPr="00D60728" w:rsidRDefault="008D26B3" w:rsidP="00BF7DCC">
            <w:pPr>
              <w:spacing w:line="240" w:lineRule="auto"/>
              <w:rPr>
                <w:rFonts w:ascii="Times New Roman" w:hAnsi="Times New Roman"/>
                <w:i/>
                <w:iCs/>
                <w:sz w:val="20"/>
                <w:szCs w:val="20"/>
              </w:rPr>
            </w:pPr>
            <w:r w:rsidRPr="00D60728">
              <w:rPr>
                <w:rFonts w:ascii="Times New Roman" w:hAnsi="Times New Roman"/>
                <w:i/>
                <w:iCs/>
                <w:sz w:val="20"/>
                <w:szCs w:val="20"/>
              </w:rPr>
              <w:t>MGIPU, Arhitektonski fakultet (AF)</w:t>
            </w:r>
          </w:p>
        </w:tc>
      </w:tr>
      <w:tr w:rsidR="00621458" w:rsidRPr="00D60728" w:rsidTr="008D26B3">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375.000.000,00 EUR financiranje projekata i 762.000,00 kn (bez PDV) izrada programa</w:t>
            </w:r>
          </w:p>
          <w:p w:rsidR="00621458" w:rsidRPr="00D60728" w:rsidRDefault="008D26B3"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MGIPU, EU sredstva</w:t>
            </w:r>
          </w:p>
        </w:tc>
      </w:tr>
      <w:tr w:rsidR="00D80073" w:rsidRPr="00D60728" w:rsidTr="00D80073">
        <w:trPr>
          <w:trHeight w:val="916"/>
        </w:trPr>
        <w:tc>
          <w:tcPr>
            <w:tcW w:w="1129" w:type="dxa"/>
            <w:vMerge w:val="restart"/>
            <w:vAlign w:val="center"/>
            <w:hideMark/>
          </w:tcPr>
          <w:p w:rsidR="00D80073" w:rsidRPr="00D60728" w:rsidRDefault="00D80073"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D80073" w:rsidRPr="00D60728" w:rsidRDefault="00D80073"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D80073" w:rsidRPr="00D60728" w:rsidRDefault="00D80073"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toplinskih potreba i potrošnje energije u zgradama javnog i stambenog sektora</w:t>
            </w:r>
          </w:p>
          <w:p w:rsidR="00D80073" w:rsidRPr="00D60728" w:rsidRDefault="00D80073"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povećanje korištenja OIE te posljedično smanjenje emisija CO2</w:t>
            </w:r>
          </w:p>
        </w:tc>
      </w:tr>
      <w:tr w:rsidR="005D47D0" w:rsidRPr="00D60728" w:rsidTr="00975DF5">
        <w:trPr>
          <w:trHeight w:val="1120"/>
        </w:trPr>
        <w:tc>
          <w:tcPr>
            <w:tcW w:w="1129" w:type="dxa"/>
            <w:vMerge/>
            <w:vAlign w:val="center"/>
            <w:hideMark/>
          </w:tcPr>
          <w:p w:rsidR="005D47D0" w:rsidRPr="00D60728" w:rsidRDefault="005D47D0" w:rsidP="00BF7DCC">
            <w:pPr>
              <w:spacing w:line="240" w:lineRule="auto"/>
              <w:jc w:val="left"/>
              <w:rPr>
                <w:rFonts w:ascii="Times New Roman" w:hAnsi="Times New Roman"/>
                <w:sz w:val="20"/>
                <w:szCs w:val="20"/>
              </w:rPr>
            </w:pPr>
          </w:p>
        </w:tc>
        <w:tc>
          <w:tcPr>
            <w:tcW w:w="1418" w:type="dxa"/>
            <w:vAlign w:val="center"/>
          </w:tcPr>
          <w:p w:rsidR="005D47D0" w:rsidRPr="00D60728" w:rsidRDefault="005D47D0"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5D47D0" w:rsidRPr="00D60728" w:rsidRDefault="005D47D0"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Istraživanje će se provoditi putem Upitnika koji je upućen u JLS</w:t>
            </w:r>
          </w:p>
        </w:tc>
      </w:tr>
    </w:tbl>
    <w:p w:rsidR="00621458" w:rsidRPr="00D60728" w:rsidRDefault="00621458" w:rsidP="00BF7DCC">
      <w:pPr>
        <w:spacing w:line="240" w:lineRule="auto"/>
        <w:rPr>
          <w:sz w:val="20"/>
          <w:szCs w:val="20"/>
        </w:rPr>
      </w:pPr>
    </w:p>
    <w:p w:rsidR="00C6068E" w:rsidRPr="00D60728" w:rsidRDefault="00C6068E"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621458" w:rsidRPr="006D54B7" w:rsidTr="00C6068E">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Uspostava Programa za izračun i smanjenje ugljikova otiska poslovnih subjekata</w:t>
            </w:r>
          </w:p>
        </w:tc>
      </w:tr>
      <w:tr w:rsidR="00621458" w:rsidRPr="00D60728" w:rsidTr="00C6068E">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MCC-10</w:t>
            </w:r>
          </w:p>
        </w:tc>
      </w:tr>
      <w:tr w:rsidR="00621458" w:rsidRPr="00D60728" w:rsidTr="00C6068E">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621458" w:rsidRPr="00D60728" w:rsidTr="00C6068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621458" w:rsidRPr="00D60728" w:rsidTr="00C6068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687BFC" w:rsidRPr="00D60728">
              <w:rPr>
                <w:rFonts w:ascii="Times New Roman" w:hAnsi="Times New Roman"/>
                <w:i/>
                <w:iCs/>
                <w:sz w:val="20"/>
                <w:szCs w:val="20"/>
              </w:rPr>
              <w:t>24</w:t>
            </w:r>
            <w:r w:rsidRPr="00D60728">
              <w:rPr>
                <w:rFonts w:ascii="Times New Roman" w:hAnsi="Times New Roman"/>
                <w:i/>
                <w:iCs/>
                <w:sz w:val="20"/>
                <w:szCs w:val="20"/>
              </w:rPr>
              <w:t>.</w:t>
            </w:r>
          </w:p>
        </w:tc>
      </w:tr>
      <w:tr w:rsidR="00621458" w:rsidRPr="00D60728" w:rsidTr="00C6068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Uspostava Programa za izračun i smanjenje ugljikova otiska poslovnih subjekata izvan ETS sustava</w:t>
            </w:r>
          </w:p>
        </w:tc>
      </w:tr>
      <w:tr w:rsidR="00687BFC" w:rsidRPr="00D60728" w:rsidTr="006D54B7">
        <w:trPr>
          <w:trHeight w:val="3911"/>
        </w:trPr>
        <w:tc>
          <w:tcPr>
            <w:tcW w:w="1129" w:type="dxa"/>
            <w:vMerge/>
            <w:vAlign w:val="center"/>
          </w:tcPr>
          <w:p w:rsidR="00687BFC" w:rsidRPr="00D60728" w:rsidRDefault="00687BFC" w:rsidP="00BF7DCC">
            <w:pPr>
              <w:spacing w:line="240" w:lineRule="auto"/>
              <w:jc w:val="left"/>
              <w:rPr>
                <w:rFonts w:ascii="Times New Roman" w:hAnsi="Times New Roman"/>
                <w:sz w:val="20"/>
                <w:szCs w:val="20"/>
              </w:rPr>
            </w:pPr>
          </w:p>
        </w:tc>
        <w:tc>
          <w:tcPr>
            <w:tcW w:w="1418" w:type="dxa"/>
            <w:vAlign w:val="center"/>
          </w:tcPr>
          <w:p w:rsidR="00687BFC" w:rsidRPr="00D60728" w:rsidRDefault="00687BFC"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687BFC" w:rsidRPr="00D60728" w:rsidRDefault="00687BFC" w:rsidP="00BF7DCC">
            <w:pPr>
              <w:spacing w:line="240" w:lineRule="auto"/>
              <w:rPr>
                <w:rFonts w:ascii="Times New Roman" w:hAnsi="Times New Roman"/>
                <w:i/>
                <w:iCs/>
                <w:sz w:val="20"/>
                <w:szCs w:val="20"/>
              </w:rPr>
            </w:pPr>
            <w:r w:rsidRPr="00D60728">
              <w:rPr>
                <w:rFonts w:ascii="Times New Roman" w:hAnsi="Times New Roman"/>
                <w:i/>
                <w:iCs/>
                <w:sz w:val="20"/>
                <w:szCs w:val="20"/>
              </w:rPr>
              <w:t>Cilj mjere je uspostava Programa za izračun i smanjenje ugljikova otiska poslovnih subjekata izvan ETS sustava, kako bi se smanjile ukupne emisije stakleničkih plinova za sve aktivnosti za koje je poslovni subjekt odgovoran ili o kojima je ovisan. Potrebno je izračunati izravne emisije i uklanjanja stakleničkih plinova na lokaciji poslovnog subjekta, bilo zbog izgaranja goriva u termoenergetskom postrojenju, iz proizvodnog procesa i/ili iz tvrtkinih vozila, zatim neizravne emisije koje nastaju izvan lokacije poslovnog subjekta, a povezane su s nabavom i potrošnjom električne, toplinske i rashladne energije, ali i ostale neizravne emisije/uklanjanja povezane s tokovima ljudi, materijala, otpada i finalnih proizvoda. Izračun ugljikova otiska će omogućiti poslovnim subjektima upoznavanje sa strukturom emisija stakleničkih plinova, odnosno prepoznavanje aktivnosti koje najznačajnije doprinose smanjenju emisija, što je dobar temelj za izradu i provedbu Akcijskog plana za smanjenje ugljikova otiska. Provedba Akcijskog plana dovela bi do smanjenja emisija stakleničkih plinova i ublažavanja klimatskih promjena, odnosno lakšeg ostvarivanja Pariškim sporazumom preuzetih obveza.</w:t>
            </w:r>
          </w:p>
        </w:tc>
      </w:tr>
      <w:tr w:rsidR="00621458" w:rsidRPr="00D60728" w:rsidTr="00C6068E">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ListParagraph"/>
              <w:numPr>
                <w:ilvl w:val="0"/>
                <w:numId w:val="54"/>
              </w:numPr>
              <w:spacing w:line="240" w:lineRule="auto"/>
              <w:ind w:left="284" w:hanging="284"/>
              <w:rPr>
                <w:rFonts w:ascii="Times New Roman" w:hAnsi="Times New Roman"/>
                <w:i/>
                <w:sz w:val="20"/>
                <w:szCs w:val="20"/>
              </w:rPr>
            </w:pPr>
            <w:r w:rsidRPr="00D60728">
              <w:rPr>
                <w:rFonts w:ascii="Times New Roman" w:hAnsi="Times New Roman"/>
                <w:i/>
                <w:sz w:val="20"/>
                <w:szCs w:val="20"/>
              </w:rPr>
              <w:t>unaprjeđenje nacionalnog modela za izračun ugljikova otiska poslovnih subjekata s integriranom bazom nacionalnih faktora emisije stakleničkih plinova;</w:t>
            </w:r>
          </w:p>
          <w:p w:rsidR="00621458" w:rsidRPr="00D60728" w:rsidRDefault="00621458" w:rsidP="00BF7DCC">
            <w:pPr>
              <w:pStyle w:val="ListParagraph"/>
              <w:numPr>
                <w:ilvl w:val="0"/>
                <w:numId w:val="54"/>
              </w:numPr>
              <w:spacing w:line="240" w:lineRule="auto"/>
              <w:ind w:left="284" w:hanging="284"/>
              <w:rPr>
                <w:rFonts w:ascii="Times New Roman" w:hAnsi="Times New Roman"/>
                <w:i/>
                <w:sz w:val="20"/>
                <w:szCs w:val="20"/>
              </w:rPr>
            </w:pPr>
            <w:r w:rsidRPr="00D60728">
              <w:rPr>
                <w:rFonts w:ascii="Times New Roman" w:hAnsi="Times New Roman"/>
                <w:i/>
                <w:sz w:val="20"/>
                <w:szCs w:val="20"/>
              </w:rPr>
              <w:t>uspostava i provedba dobrovoljnog programa za izračun i smanjenje ugljikova otiska poslovnih subjekata od 2021. godine;</w:t>
            </w:r>
          </w:p>
          <w:p w:rsidR="00621458" w:rsidRPr="00D60728" w:rsidRDefault="00621458" w:rsidP="00BF7DCC">
            <w:pPr>
              <w:pStyle w:val="ListParagraph"/>
              <w:numPr>
                <w:ilvl w:val="0"/>
                <w:numId w:val="54"/>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praćenje i analiza postignutog smanjenja ugljikova otiska poslovnih subjekata; </w:t>
            </w:r>
          </w:p>
          <w:p w:rsidR="00621458" w:rsidRPr="00D60728" w:rsidRDefault="00621458" w:rsidP="00BF7DCC">
            <w:pPr>
              <w:pStyle w:val="ListParagraph"/>
              <w:numPr>
                <w:ilvl w:val="0"/>
                <w:numId w:val="54"/>
              </w:numPr>
              <w:spacing w:line="240" w:lineRule="auto"/>
              <w:ind w:left="284" w:hanging="284"/>
              <w:rPr>
                <w:rFonts w:ascii="Times New Roman" w:hAnsi="Times New Roman"/>
                <w:i/>
                <w:sz w:val="20"/>
                <w:szCs w:val="20"/>
              </w:rPr>
            </w:pPr>
            <w:r w:rsidRPr="00D60728">
              <w:rPr>
                <w:rFonts w:ascii="Times New Roman" w:hAnsi="Times New Roman"/>
                <w:i/>
                <w:sz w:val="20"/>
                <w:szCs w:val="20"/>
              </w:rPr>
              <w:t>razmotrit će se donošenje podzakonskog akta koji će uspostaviti obvezu izračuna ugljikova otiska i izradu akcijskog plana za smanjenje ugljikova otiska poslovnih subjekata.</w:t>
            </w:r>
          </w:p>
        </w:tc>
      </w:tr>
      <w:tr w:rsidR="00687BFC" w:rsidRPr="00D60728" w:rsidTr="00687BFC">
        <w:trPr>
          <w:trHeight w:val="723"/>
        </w:trPr>
        <w:tc>
          <w:tcPr>
            <w:tcW w:w="1129" w:type="dxa"/>
            <w:vMerge/>
            <w:vAlign w:val="center"/>
            <w:hideMark/>
          </w:tcPr>
          <w:p w:rsidR="00687BFC" w:rsidRPr="00D60728" w:rsidRDefault="00687BFC" w:rsidP="00BF7DCC">
            <w:pPr>
              <w:spacing w:line="240" w:lineRule="auto"/>
              <w:jc w:val="left"/>
              <w:rPr>
                <w:rFonts w:ascii="Times New Roman" w:hAnsi="Times New Roman"/>
                <w:sz w:val="20"/>
                <w:szCs w:val="20"/>
              </w:rPr>
            </w:pPr>
          </w:p>
        </w:tc>
        <w:tc>
          <w:tcPr>
            <w:tcW w:w="1418" w:type="dxa"/>
            <w:vAlign w:val="center"/>
            <w:hideMark/>
          </w:tcPr>
          <w:p w:rsidR="00687BFC" w:rsidRPr="00D60728" w:rsidRDefault="00687BFC"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687BFC" w:rsidRPr="00D60728" w:rsidRDefault="00687BFC"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p w:rsidR="00687BFC" w:rsidRPr="00D60728" w:rsidRDefault="00687BFC" w:rsidP="00BF7DCC">
            <w:pPr>
              <w:spacing w:line="240" w:lineRule="auto"/>
              <w:rPr>
                <w:rFonts w:ascii="Times New Roman" w:hAnsi="Times New Roman"/>
                <w:i/>
                <w:iCs/>
                <w:sz w:val="20"/>
                <w:szCs w:val="20"/>
              </w:rPr>
            </w:pPr>
            <w:r w:rsidRPr="00D60728">
              <w:rPr>
                <w:rFonts w:ascii="Times New Roman" w:hAnsi="Times New Roman"/>
                <w:i/>
                <w:iCs/>
                <w:sz w:val="20"/>
                <w:szCs w:val="20"/>
              </w:rPr>
              <w:t>FZOEU</w:t>
            </w:r>
          </w:p>
        </w:tc>
      </w:tr>
      <w:tr w:rsidR="00621458" w:rsidRPr="00D60728" w:rsidTr="00C6068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3A00ED"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FZOEU (sufinanciranje izračuna ugljikova otiska i izrade akcijskih planova poslovnih subjekata izvan ETS sustava)</w:t>
            </w:r>
          </w:p>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redovni rad državnih tijela</w:t>
            </w:r>
          </w:p>
        </w:tc>
      </w:tr>
      <w:tr w:rsidR="00687BFC" w:rsidRPr="00D60728" w:rsidTr="00687BFC">
        <w:trPr>
          <w:trHeight w:val="1417"/>
        </w:trPr>
        <w:tc>
          <w:tcPr>
            <w:tcW w:w="1129" w:type="dxa"/>
            <w:vMerge w:val="restart"/>
            <w:vAlign w:val="center"/>
            <w:hideMark/>
          </w:tcPr>
          <w:p w:rsidR="00687BFC" w:rsidRPr="00D60728" w:rsidRDefault="00687BFC"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687BFC" w:rsidRPr="00D60728" w:rsidRDefault="00687BFC"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687BFC" w:rsidRPr="00D60728" w:rsidRDefault="00687BFC"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Povećanje energetske učinkovitosti,</w:t>
            </w:r>
          </w:p>
          <w:p w:rsidR="00687BFC" w:rsidRPr="00D60728" w:rsidRDefault="00687BFC"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povećanje korištenja OIE,</w:t>
            </w:r>
          </w:p>
          <w:p w:rsidR="00687BFC" w:rsidRPr="00D60728" w:rsidRDefault="00687BFC"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poticanje održivog korištenja resursa i kružnog gospodarstva i</w:t>
            </w:r>
          </w:p>
          <w:p w:rsidR="00687BFC" w:rsidRPr="00D60728" w:rsidRDefault="00687BFC"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ublažavanje klimatskih promjena kroz smanjenje emisija stakleničkih plinova poslovnih subjekata.</w:t>
            </w:r>
          </w:p>
        </w:tc>
      </w:tr>
      <w:tr w:rsidR="003A00ED" w:rsidRPr="00D60728" w:rsidTr="003A00ED">
        <w:trPr>
          <w:trHeight w:val="1701"/>
        </w:trPr>
        <w:tc>
          <w:tcPr>
            <w:tcW w:w="1129" w:type="dxa"/>
            <w:vMerge/>
            <w:vAlign w:val="center"/>
            <w:hideMark/>
          </w:tcPr>
          <w:p w:rsidR="003A00ED" w:rsidRPr="00D60728" w:rsidRDefault="003A00ED" w:rsidP="00BF7DCC">
            <w:pPr>
              <w:spacing w:line="240" w:lineRule="auto"/>
              <w:jc w:val="left"/>
              <w:rPr>
                <w:rFonts w:ascii="Times New Roman" w:hAnsi="Times New Roman"/>
                <w:sz w:val="20"/>
                <w:szCs w:val="20"/>
              </w:rPr>
            </w:pPr>
          </w:p>
        </w:tc>
        <w:tc>
          <w:tcPr>
            <w:tcW w:w="1418" w:type="dxa"/>
            <w:vAlign w:val="center"/>
          </w:tcPr>
          <w:p w:rsidR="003A00ED" w:rsidRPr="00D60728" w:rsidRDefault="003A00ED"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3A00ED" w:rsidRPr="00D60728" w:rsidRDefault="003A00ED" w:rsidP="00BF7DCC">
            <w:pPr>
              <w:pStyle w:val="ListParagraph"/>
              <w:numPr>
                <w:ilvl w:val="0"/>
                <w:numId w:val="31"/>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Broj poslovnih subjekata koji izračunavaju ugljikov otisak, izrađuju akcijski plan, provode mjere i prate učinak mjera kroz smanjenje emisije stakleničkih plinova;</w:t>
            </w:r>
          </w:p>
          <w:p w:rsidR="003A00ED" w:rsidRPr="00D60728" w:rsidRDefault="003A00ED" w:rsidP="00BF7DCC">
            <w:pPr>
              <w:pStyle w:val="ListParagraph"/>
              <w:numPr>
                <w:ilvl w:val="0"/>
                <w:numId w:val="31"/>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izračun godišnjeg smanjenja emisije stakleničkih plinova za sve poslovne subjekte, koji sudjeluju u dobrovoljnom/obveznom programu izračuna i smanjenja ugljikova otiska.</w:t>
            </w:r>
          </w:p>
        </w:tc>
      </w:tr>
    </w:tbl>
    <w:p w:rsidR="00621458" w:rsidRPr="00D60728" w:rsidRDefault="00621458" w:rsidP="00BF7DCC">
      <w:pPr>
        <w:spacing w:line="240" w:lineRule="auto"/>
        <w:rPr>
          <w:sz w:val="20"/>
          <w:szCs w:val="20"/>
        </w:rPr>
      </w:pPr>
    </w:p>
    <w:p w:rsidR="003A00ED" w:rsidRPr="00D60728" w:rsidRDefault="003A00ED" w:rsidP="00BF7DCC">
      <w:pPr>
        <w:spacing w:line="240" w:lineRule="auto"/>
        <w:rPr>
          <w:sz w:val="20"/>
          <w:szCs w:val="20"/>
        </w:rPr>
      </w:pPr>
    </w:p>
    <w:tbl>
      <w:tblPr>
        <w:tblStyle w:val="TableGrid"/>
        <w:tblW w:w="9175" w:type="dxa"/>
        <w:tblInd w:w="113" w:type="dxa"/>
        <w:tblLayout w:type="fixed"/>
        <w:tblLook w:val="04A0" w:firstRow="1" w:lastRow="0" w:firstColumn="1" w:lastColumn="0" w:noHBand="0" w:noVBand="1"/>
      </w:tblPr>
      <w:tblGrid>
        <w:gridCol w:w="1129"/>
        <w:gridCol w:w="1418"/>
        <w:gridCol w:w="6628"/>
      </w:tblGrid>
      <w:tr w:rsidR="00621458" w:rsidRPr="006D54B7" w:rsidTr="00621458">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Uspostava platforme za kružno gospodarstvo</w:t>
            </w:r>
          </w:p>
        </w:tc>
      </w:tr>
      <w:tr w:rsidR="00621458" w:rsidRPr="00D60728" w:rsidTr="00621458">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MCC-11</w:t>
            </w:r>
          </w:p>
        </w:tc>
      </w:tr>
      <w:tr w:rsidR="00621458" w:rsidRPr="00D60728" w:rsidTr="00621458">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Informativna, obrazovna, regulatorna mjera</w:t>
            </w:r>
          </w:p>
        </w:tc>
      </w:tr>
      <w:tr w:rsidR="00621458" w:rsidRPr="00D60728" w:rsidTr="00621458">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621458" w:rsidRPr="00D60728" w:rsidTr="00621458">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843EE7" w:rsidRPr="00D60728">
              <w:rPr>
                <w:rFonts w:ascii="Times New Roman" w:hAnsi="Times New Roman"/>
                <w:i/>
                <w:iCs/>
                <w:sz w:val="20"/>
                <w:szCs w:val="20"/>
              </w:rPr>
              <w:t>24</w:t>
            </w:r>
            <w:r w:rsidRPr="00D60728">
              <w:rPr>
                <w:rFonts w:ascii="Times New Roman" w:hAnsi="Times New Roman"/>
                <w:i/>
                <w:iCs/>
                <w:sz w:val="20"/>
                <w:szCs w:val="20"/>
              </w:rPr>
              <w:t>.</w:t>
            </w:r>
          </w:p>
        </w:tc>
      </w:tr>
      <w:tr w:rsidR="00843EE7" w:rsidRPr="00D60728" w:rsidTr="006D54B7">
        <w:trPr>
          <w:trHeight w:val="3320"/>
        </w:trPr>
        <w:tc>
          <w:tcPr>
            <w:tcW w:w="1129" w:type="dxa"/>
            <w:vMerge/>
            <w:vAlign w:val="center"/>
            <w:hideMark/>
          </w:tcPr>
          <w:p w:rsidR="00843EE7" w:rsidRPr="00D60728" w:rsidRDefault="00843EE7" w:rsidP="00BF7DCC">
            <w:pPr>
              <w:spacing w:line="240" w:lineRule="auto"/>
              <w:jc w:val="left"/>
              <w:rPr>
                <w:rFonts w:ascii="Times New Roman" w:hAnsi="Times New Roman"/>
                <w:sz w:val="20"/>
                <w:szCs w:val="20"/>
              </w:rPr>
            </w:pPr>
          </w:p>
        </w:tc>
        <w:tc>
          <w:tcPr>
            <w:tcW w:w="1418" w:type="dxa"/>
            <w:vAlign w:val="center"/>
          </w:tcPr>
          <w:p w:rsidR="00843EE7" w:rsidRPr="00D60728" w:rsidRDefault="00843EE7"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843EE7" w:rsidRPr="00D60728" w:rsidRDefault="00843EE7"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Prema Paketu za kružno gospodarstvo iz 2018., EK je razradila 54 mjere u Akcijskom planu za kružno gospodarstvo COM(2015) 614 i okviru za praćenje kružnog gospodarstva COM(2018) 29 final. Potrebno je razraditi sustavni pristup u svim vrijednosnim lancima koje se odnose na hrvatsko gospodarstvo, a odnose se na navedene mjere u Akcijskom planu na čijem temelju Komisija integrira načela kružnog gospodarstva u proizvodnju i potrošnju plastike, gospodarenje vodama, prehrambene sustave i gospodarenje posebnim tokovima otpada. Potrebno je osnovati međusektorsku tematsku radnu skupinu koja će odrediti dionike kružnog gospodarstva (fokus na industriju i dobavljače sirovina, energenata i ambalaže) i prema njima napraviti nacionalni akcijski plan za tranziciju na kružno gospodarstvo. Uključivanje predstavnika RH u Platformu dionika za Europsko kružno gospodarstvo omogućuje izravan pristup inovacijama i najboljim praksama kao i suradnju u istima. </w:t>
            </w:r>
          </w:p>
        </w:tc>
      </w:tr>
      <w:tr w:rsidR="00E7392C" w:rsidRPr="00D60728" w:rsidTr="00E7392C">
        <w:trPr>
          <w:trHeight w:val="680"/>
        </w:trPr>
        <w:tc>
          <w:tcPr>
            <w:tcW w:w="1129" w:type="dxa"/>
            <w:vMerge w:val="restart"/>
            <w:vAlign w:val="center"/>
            <w:hideMark/>
          </w:tcPr>
          <w:p w:rsidR="00E7392C" w:rsidRPr="00D60728" w:rsidRDefault="00E7392C"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E7392C" w:rsidRPr="00D60728" w:rsidRDefault="00E7392C"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E7392C" w:rsidRPr="00D60728" w:rsidRDefault="00E7392C"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r w:rsidR="00621458" w:rsidRPr="00D60728" w:rsidTr="00621458">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ListParagraph"/>
              <w:spacing w:line="240" w:lineRule="auto"/>
              <w:ind w:left="317"/>
              <w:contextualSpacing w:val="0"/>
              <w:jc w:val="left"/>
              <w:rPr>
                <w:rFonts w:ascii="Times New Roman" w:hAnsi="Times New Roman"/>
                <w:i/>
                <w:iCs/>
                <w:sz w:val="20"/>
                <w:szCs w:val="20"/>
              </w:rPr>
            </w:pPr>
            <w:r w:rsidRPr="00D60728">
              <w:rPr>
                <w:rFonts w:ascii="Times New Roman" w:hAnsi="Times New Roman"/>
                <w:i/>
                <w:iCs/>
                <w:sz w:val="20"/>
                <w:szCs w:val="20"/>
              </w:rPr>
              <w:t xml:space="preserve"> </w:t>
            </w:r>
          </w:p>
        </w:tc>
      </w:tr>
      <w:tr w:rsidR="00E7392C" w:rsidRPr="00D60728" w:rsidTr="00853EA3">
        <w:trPr>
          <w:trHeight w:val="839"/>
        </w:trPr>
        <w:tc>
          <w:tcPr>
            <w:tcW w:w="1129" w:type="dxa"/>
            <w:vMerge w:val="restart"/>
            <w:vAlign w:val="center"/>
            <w:hideMark/>
          </w:tcPr>
          <w:p w:rsidR="00E7392C" w:rsidRPr="00D60728" w:rsidRDefault="00E7392C"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E7392C" w:rsidRPr="00D60728" w:rsidRDefault="00E7392C"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E7392C" w:rsidRPr="00D60728" w:rsidRDefault="00A2447C" w:rsidP="00BF7DCC">
            <w:pPr>
              <w:spacing w:line="240" w:lineRule="auto"/>
              <w:rPr>
                <w:rFonts w:ascii="Times New Roman" w:hAnsi="Times New Roman"/>
                <w:i/>
                <w:iCs/>
                <w:sz w:val="20"/>
                <w:szCs w:val="20"/>
              </w:rPr>
            </w:pPr>
            <w:r>
              <w:rPr>
                <w:rFonts w:ascii="Times New Roman" w:hAnsi="Times New Roman"/>
                <w:i/>
                <w:iCs/>
                <w:sz w:val="20"/>
                <w:szCs w:val="20"/>
              </w:rPr>
              <w:t xml:space="preserve">Za sada nije moguće procijeniti potencijal smanjenja emisije primjenom ove mjere </w:t>
            </w:r>
          </w:p>
        </w:tc>
      </w:tr>
      <w:tr w:rsidR="00267090" w:rsidRPr="00D60728" w:rsidTr="00853EA3">
        <w:trPr>
          <w:trHeight w:val="1120"/>
        </w:trPr>
        <w:tc>
          <w:tcPr>
            <w:tcW w:w="1129" w:type="dxa"/>
            <w:vMerge/>
            <w:vAlign w:val="center"/>
            <w:hideMark/>
          </w:tcPr>
          <w:p w:rsidR="00267090" w:rsidRPr="00D60728" w:rsidRDefault="00267090" w:rsidP="00BF7DCC">
            <w:pPr>
              <w:spacing w:line="240" w:lineRule="auto"/>
              <w:jc w:val="left"/>
              <w:rPr>
                <w:rFonts w:ascii="Times New Roman" w:hAnsi="Times New Roman"/>
                <w:sz w:val="20"/>
                <w:szCs w:val="20"/>
              </w:rPr>
            </w:pPr>
          </w:p>
        </w:tc>
        <w:tc>
          <w:tcPr>
            <w:tcW w:w="1418" w:type="dxa"/>
            <w:vAlign w:val="center"/>
          </w:tcPr>
          <w:p w:rsidR="00267090" w:rsidRPr="00D60728" w:rsidRDefault="00267090"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267090" w:rsidRPr="00D60728" w:rsidRDefault="00A2447C" w:rsidP="00BF7DCC">
            <w:pPr>
              <w:spacing w:line="240" w:lineRule="auto"/>
              <w:jc w:val="left"/>
              <w:rPr>
                <w:rFonts w:ascii="Times New Roman" w:hAnsi="Times New Roman"/>
                <w:i/>
                <w:sz w:val="20"/>
                <w:szCs w:val="20"/>
              </w:rPr>
            </w:pPr>
            <w:r>
              <w:rPr>
                <w:rFonts w:ascii="Times New Roman" w:hAnsi="Times New Roman"/>
                <w:i/>
                <w:sz w:val="20"/>
                <w:szCs w:val="20"/>
              </w:rPr>
              <w:t>Broj izvršenih aktivnosti.</w:t>
            </w:r>
          </w:p>
        </w:tc>
      </w:tr>
      <w:tr w:rsidR="00621458" w:rsidRPr="00D60728" w:rsidTr="00621458">
        <w:trPr>
          <w:trHeight w:val="454"/>
        </w:trPr>
        <w:tc>
          <w:tcPr>
            <w:tcW w:w="2547" w:type="dxa"/>
            <w:gridSpan w:val="2"/>
            <w:vAlign w:val="center"/>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Sinergija/preklapanje s drugim mjerama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MCC-12</w:t>
            </w:r>
          </w:p>
        </w:tc>
      </w:tr>
    </w:tbl>
    <w:p w:rsidR="00621458" w:rsidRPr="00D60728" w:rsidRDefault="00621458" w:rsidP="00BF7DCC">
      <w:pPr>
        <w:spacing w:line="240" w:lineRule="auto"/>
        <w:rPr>
          <w:sz w:val="20"/>
          <w:szCs w:val="20"/>
        </w:rPr>
      </w:pPr>
    </w:p>
    <w:p w:rsidR="00E7392C" w:rsidRPr="00D60728" w:rsidRDefault="00E7392C"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621458" w:rsidRPr="006D54B7" w:rsidTr="00C6633E">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Uspostava platforme za biogospodarstvo</w:t>
            </w:r>
          </w:p>
        </w:tc>
      </w:tr>
      <w:tr w:rsidR="00621458" w:rsidRPr="00D60728" w:rsidTr="00C6633E">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MCC-12</w:t>
            </w:r>
          </w:p>
        </w:tc>
      </w:tr>
      <w:tr w:rsidR="00621458" w:rsidRPr="00D60728" w:rsidTr="00C6633E">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Informativna, obrazovna, regulatorna mjera</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A26293" w:rsidRPr="00D60728">
              <w:rPr>
                <w:rFonts w:ascii="Times New Roman" w:hAnsi="Times New Roman"/>
                <w:i/>
                <w:iCs/>
                <w:sz w:val="20"/>
                <w:szCs w:val="20"/>
              </w:rPr>
              <w:t>24</w:t>
            </w:r>
            <w:r w:rsidRPr="00D60728">
              <w:rPr>
                <w:rFonts w:ascii="Times New Roman" w:hAnsi="Times New Roman"/>
                <w:i/>
                <w:iCs/>
                <w:sz w:val="20"/>
                <w:szCs w:val="20"/>
              </w:rPr>
              <w:t>.</w:t>
            </w:r>
          </w:p>
        </w:tc>
      </w:tr>
      <w:tr w:rsidR="00A26293" w:rsidRPr="00D60728" w:rsidTr="006D54B7">
        <w:trPr>
          <w:trHeight w:val="3544"/>
        </w:trPr>
        <w:tc>
          <w:tcPr>
            <w:tcW w:w="1129" w:type="dxa"/>
            <w:vMerge/>
            <w:vAlign w:val="center"/>
            <w:hideMark/>
          </w:tcPr>
          <w:p w:rsidR="00A26293" w:rsidRPr="00D60728" w:rsidRDefault="00A26293" w:rsidP="00BF7DCC">
            <w:pPr>
              <w:spacing w:line="240" w:lineRule="auto"/>
              <w:jc w:val="left"/>
              <w:rPr>
                <w:rFonts w:ascii="Times New Roman" w:hAnsi="Times New Roman"/>
                <w:sz w:val="20"/>
                <w:szCs w:val="20"/>
              </w:rPr>
            </w:pPr>
          </w:p>
        </w:tc>
        <w:tc>
          <w:tcPr>
            <w:tcW w:w="1418" w:type="dxa"/>
            <w:vAlign w:val="center"/>
          </w:tcPr>
          <w:p w:rsidR="00A26293" w:rsidRPr="00D60728" w:rsidRDefault="00A26293"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shd w:val="clear" w:color="auto" w:fill="auto"/>
            <w:vAlign w:val="center"/>
          </w:tcPr>
          <w:p w:rsidR="00A26293" w:rsidRPr="00D60728" w:rsidRDefault="00A26293" w:rsidP="00BF7DCC">
            <w:pPr>
              <w:spacing w:line="240" w:lineRule="auto"/>
              <w:rPr>
                <w:rFonts w:ascii="Times New Roman" w:hAnsi="Times New Roman"/>
                <w:i/>
                <w:iCs/>
                <w:sz w:val="20"/>
                <w:szCs w:val="20"/>
              </w:rPr>
            </w:pPr>
            <w:r w:rsidRPr="00D60728">
              <w:rPr>
                <w:rFonts w:ascii="Times New Roman" w:hAnsi="Times New Roman"/>
                <w:i/>
                <w:iCs/>
                <w:sz w:val="20"/>
                <w:szCs w:val="20"/>
              </w:rPr>
              <w:t>U kontekstu razvoja biogospodarstva, nužno je povezati tri ključna aspekta: razvoj novih tehnologija i procesa; razvoj tržišta i konkurentnost sektora temeljenih na biomasi te politička volja za suradnju politike i dionika da bi se biogospodarstvo ostvarilo u hrvatskom kontekstu. Time se treba osigurati transformacija postojećih „tradicionalnih“ dionika biogospodarstva (poljoprivrednika, OPG-a, prehrambeno-prerađivačke, drvno-prerađivačke, farmaceutske i kemijske industrije…) u nove, moderne dionike čiji proizvodi više nisu temeljeni na neobnovljivom ugljiku (bioplastika, biogoriva, biokemikalije, proizvodi „tradicionalnih“ dionika s manjim ugljičnim otiskom...) i pripremiti ih za najavljene EU fondove za tranziciju na biogospodarstvo. Za prelazak na biogospodarstvo je neophodno prilagoditi sektore poljoprivrede, šumarstva i gospodarenja otpadom kako bi se uravnotežila ponuda i potražnja za biomasom, što uključuje i osnivanje sabirno-logističkih centara za biomasu i biorafinerija. Putem ove platforme, nacionalni dionici povezat će se s inicijativama u EU</w:t>
            </w:r>
          </w:p>
        </w:tc>
      </w:tr>
      <w:tr w:rsidR="00A26293" w:rsidRPr="00D60728" w:rsidTr="00A26293">
        <w:trPr>
          <w:trHeight w:val="680"/>
        </w:trPr>
        <w:tc>
          <w:tcPr>
            <w:tcW w:w="1129" w:type="dxa"/>
            <w:vMerge w:val="restart"/>
            <w:vAlign w:val="center"/>
            <w:hideMark/>
          </w:tcPr>
          <w:p w:rsidR="00A26293" w:rsidRPr="00D60728" w:rsidRDefault="00A2629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A26293" w:rsidRPr="00D60728" w:rsidRDefault="00A26293"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A26293" w:rsidRPr="00D60728" w:rsidRDefault="00A26293"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ListParagraph"/>
              <w:spacing w:line="240" w:lineRule="auto"/>
              <w:ind w:left="317"/>
              <w:contextualSpacing w:val="0"/>
              <w:jc w:val="left"/>
              <w:rPr>
                <w:rFonts w:ascii="Times New Roman" w:hAnsi="Times New Roman"/>
                <w:i/>
                <w:iCs/>
                <w:sz w:val="20"/>
                <w:szCs w:val="20"/>
              </w:rPr>
            </w:pPr>
          </w:p>
        </w:tc>
      </w:tr>
      <w:tr w:rsidR="00A26293" w:rsidRPr="00D60728" w:rsidTr="00853EA3">
        <w:trPr>
          <w:trHeight w:val="839"/>
        </w:trPr>
        <w:tc>
          <w:tcPr>
            <w:tcW w:w="1129" w:type="dxa"/>
            <w:vMerge w:val="restart"/>
            <w:vAlign w:val="center"/>
            <w:hideMark/>
          </w:tcPr>
          <w:p w:rsidR="00A26293" w:rsidRPr="00D60728" w:rsidRDefault="00A26293"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A26293" w:rsidRPr="00D60728" w:rsidRDefault="00A26293"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A26293" w:rsidRPr="00D60728" w:rsidRDefault="00A26293" w:rsidP="00BF7DCC">
            <w:pPr>
              <w:spacing w:line="240" w:lineRule="auto"/>
              <w:rPr>
                <w:rFonts w:ascii="Times New Roman" w:hAnsi="Times New Roman"/>
                <w:i/>
                <w:iCs/>
                <w:sz w:val="20"/>
                <w:szCs w:val="20"/>
              </w:rPr>
            </w:pPr>
          </w:p>
        </w:tc>
      </w:tr>
      <w:tr w:rsidR="00A26293" w:rsidRPr="00D60728" w:rsidTr="00853EA3">
        <w:trPr>
          <w:trHeight w:val="1120"/>
        </w:trPr>
        <w:tc>
          <w:tcPr>
            <w:tcW w:w="1129" w:type="dxa"/>
            <w:vMerge/>
            <w:vAlign w:val="center"/>
            <w:hideMark/>
          </w:tcPr>
          <w:p w:rsidR="00A26293" w:rsidRPr="00D60728" w:rsidRDefault="00A26293" w:rsidP="00BF7DCC">
            <w:pPr>
              <w:spacing w:line="240" w:lineRule="auto"/>
              <w:jc w:val="left"/>
              <w:rPr>
                <w:rFonts w:ascii="Times New Roman" w:hAnsi="Times New Roman"/>
                <w:sz w:val="20"/>
                <w:szCs w:val="20"/>
              </w:rPr>
            </w:pPr>
          </w:p>
        </w:tc>
        <w:tc>
          <w:tcPr>
            <w:tcW w:w="1418" w:type="dxa"/>
            <w:vAlign w:val="center"/>
          </w:tcPr>
          <w:p w:rsidR="00A26293" w:rsidRPr="00D60728" w:rsidRDefault="00A26293"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A26293" w:rsidRPr="00D60728" w:rsidRDefault="00A26293" w:rsidP="00BF7DCC">
            <w:pPr>
              <w:pStyle w:val="ListParagraph"/>
              <w:spacing w:line="240" w:lineRule="auto"/>
              <w:ind w:left="279"/>
              <w:contextualSpacing w:val="0"/>
              <w:jc w:val="left"/>
              <w:rPr>
                <w:rFonts w:ascii="Times New Roman" w:hAnsi="Times New Roman"/>
                <w:i/>
                <w:sz w:val="20"/>
                <w:szCs w:val="20"/>
              </w:rPr>
            </w:pPr>
          </w:p>
        </w:tc>
      </w:tr>
      <w:tr w:rsidR="00621458" w:rsidRPr="00D60728" w:rsidTr="00C6633E">
        <w:trPr>
          <w:trHeight w:val="454"/>
        </w:trPr>
        <w:tc>
          <w:tcPr>
            <w:tcW w:w="2547" w:type="dxa"/>
            <w:gridSpan w:val="2"/>
            <w:vAlign w:val="center"/>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Sinergija/preklapanje s drugim mjerama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MAG-4, MAG-7, MAG-9, MTR-5, MTR-9 i MTR-12</w:t>
            </w:r>
          </w:p>
        </w:tc>
      </w:tr>
    </w:tbl>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621458" w:rsidRPr="00D60728" w:rsidRDefault="00621458" w:rsidP="00BF7DCC">
      <w:pPr>
        <w:pStyle w:val="Caption"/>
        <w:keepNext/>
        <w:spacing w:after="0" w:line="240" w:lineRule="auto"/>
        <w:rPr>
          <w:sz w:val="20"/>
          <w:szCs w:val="20"/>
        </w:rPr>
      </w:pPr>
    </w:p>
    <w:p w:rsidR="00AA3246" w:rsidRPr="00D60728" w:rsidRDefault="00AA3246" w:rsidP="00BF7DCC">
      <w:pPr>
        <w:spacing w:line="240" w:lineRule="auto"/>
        <w:rPr>
          <w:sz w:val="20"/>
          <w:szCs w:val="20"/>
        </w:rPr>
      </w:pPr>
      <w:r w:rsidRPr="00D60728">
        <w:rPr>
          <w:sz w:val="20"/>
          <w:szCs w:val="20"/>
        </w:rPr>
        <w:br w:type="page"/>
      </w:r>
    </w:p>
    <w:tbl>
      <w:tblPr>
        <w:tblStyle w:val="TableGrid"/>
        <w:tblW w:w="9175" w:type="dxa"/>
        <w:tblLayout w:type="fixed"/>
        <w:tblLook w:val="04A0" w:firstRow="1" w:lastRow="0" w:firstColumn="1" w:lastColumn="0" w:noHBand="0" w:noVBand="1"/>
      </w:tblPr>
      <w:tblGrid>
        <w:gridCol w:w="1129"/>
        <w:gridCol w:w="1418"/>
        <w:gridCol w:w="6628"/>
      </w:tblGrid>
      <w:tr w:rsidR="00621458" w:rsidRPr="006D54B7" w:rsidTr="00C6633E">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lastRenderedPageBreak/>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Uspostava platforme za tehnologiju vodika</w:t>
            </w:r>
          </w:p>
        </w:tc>
      </w:tr>
      <w:tr w:rsidR="00621458" w:rsidRPr="00D60728" w:rsidTr="00C6633E">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MCC-13</w:t>
            </w:r>
          </w:p>
        </w:tc>
      </w:tr>
      <w:tr w:rsidR="00621458" w:rsidRPr="00D60728" w:rsidTr="00C6633E">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Informativna, obrazovna, regulatorna mjera</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28114A" w:rsidRPr="00D60728">
              <w:rPr>
                <w:rFonts w:ascii="Times New Roman" w:hAnsi="Times New Roman"/>
                <w:i/>
                <w:iCs/>
                <w:sz w:val="20"/>
                <w:szCs w:val="20"/>
              </w:rPr>
              <w:t>24</w:t>
            </w:r>
            <w:r w:rsidRPr="00D60728">
              <w:rPr>
                <w:rFonts w:ascii="Times New Roman" w:hAnsi="Times New Roman"/>
                <w:i/>
                <w:iCs/>
                <w:sz w:val="20"/>
                <w:szCs w:val="20"/>
              </w:rPr>
              <w:t>.</w:t>
            </w:r>
          </w:p>
        </w:tc>
      </w:tr>
      <w:tr w:rsidR="0028114A" w:rsidRPr="00D60728" w:rsidTr="00C6633E">
        <w:trPr>
          <w:trHeight w:val="2891"/>
        </w:trPr>
        <w:tc>
          <w:tcPr>
            <w:tcW w:w="1129" w:type="dxa"/>
            <w:vMerge/>
            <w:vAlign w:val="center"/>
            <w:hideMark/>
          </w:tcPr>
          <w:p w:rsidR="0028114A" w:rsidRPr="00D60728" w:rsidRDefault="0028114A" w:rsidP="00BF7DCC">
            <w:pPr>
              <w:spacing w:line="240" w:lineRule="auto"/>
              <w:jc w:val="left"/>
              <w:rPr>
                <w:rFonts w:ascii="Times New Roman" w:hAnsi="Times New Roman"/>
                <w:sz w:val="20"/>
                <w:szCs w:val="20"/>
              </w:rPr>
            </w:pPr>
          </w:p>
        </w:tc>
        <w:tc>
          <w:tcPr>
            <w:tcW w:w="1418" w:type="dxa"/>
            <w:vAlign w:val="center"/>
            <w:hideMark/>
          </w:tcPr>
          <w:p w:rsidR="0028114A" w:rsidRPr="00D60728" w:rsidRDefault="0028114A"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28114A" w:rsidRPr="00D60728" w:rsidRDefault="0028114A"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Očekuje se kako će uloga vodika u energetskim i prometnim sustavima budućnosti biti značajnija, tim više što će ciljevi u pogledu smanjenja emisija stakleničkih plinova biti ambiciozniji. Zato je potrebno pravovremeno identificirati prilike povezane s korištenjem vodika, razmotriti njegovu primjenu u narednom desetljeću i istražiti mogućnosti financijskog poticanja proizvodnje i potrošnje vodika. U tu svrhu će se formirati platforma za tehnologiju vodika koja će povezati nacionalne dionike relevantne za istraživanje i primjenu tehnologije vodika, pratiti razvoj tehnologija vodika na EU i međunarodnoj razini te služiti kao poveznica između nacionalne, EU i međunarodne razine.</w:t>
            </w:r>
          </w:p>
        </w:tc>
      </w:tr>
      <w:tr w:rsidR="0028114A" w:rsidRPr="00D60728" w:rsidTr="00C6633E">
        <w:trPr>
          <w:trHeight w:val="680"/>
        </w:trPr>
        <w:tc>
          <w:tcPr>
            <w:tcW w:w="1129" w:type="dxa"/>
            <w:vMerge w:val="restart"/>
            <w:vAlign w:val="center"/>
            <w:hideMark/>
          </w:tcPr>
          <w:p w:rsidR="0028114A" w:rsidRPr="00D60728" w:rsidRDefault="0028114A"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28114A" w:rsidRPr="00D60728" w:rsidRDefault="0028114A"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28114A" w:rsidRPr="00D60728" w:rsidRDefault="0028114A"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shd w:val="clear" w:color="auto" w:fill="auto"/>
            <w:vAlign w:val="center"/>
          </w:tcPr>
          <w:p w:rsidR="00621458" w:rsidRPr="00D60728" w:rsidRDefault="00621458" w:rsidP="00BF7DCC">
            <w:pPr>
              <w:spacing w:line="240" w:lineRule="auto"/>
              <w:jc w:val="left"/>
              <w:rPr>
                <w:rFonts w:ascii="Times New Roman" w:hAnsi="Times New Roman"/>
                <w:i/>
                <w:iCs/>
                <w:sz w:val="20"/>
                <w:szCs w:val="20"/>
              </w:rPr>
            </w:pPr>
          </w:p>
        </w:tc>
      </w:tr>
    </w:tbl>
    <w:p w:rsidR="005B6851" w:rsidRPr="00D60728" w:rsidRDefault="005B6851" w:rsidP="00BF7DCC">
      <w:pPr>
        <w:spacing w:line="240" w:lineRule="auto"/>
        <w:rPr>
          <w:sz w:val="20"/>
          <w:szCs w:val="20"/>
        </w:rPr>
      </w:pPr>
    </w:p>
    <w:p w:rsidR="005B6851" w:rsidRPr="00D60728" w:rsidRDefault="005B6851"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621458" w:rsidRPr="006D54B7" w:rsidTr="00C6633E">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Sustav obveze energetske učinkovitosti za opskrbljivače</w:t>
            </w:r>
          </w:p>
        </w:tc>
      </w:tr>
      <w:tr w:rsidR="00621458" w:rsidRPr="00D60728" w:rsidTr="00C6633E">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MCC-14</w:t>
            </w:r>
          </w:p>
        </w:tc>
      </w:tr>
      <w:tr w:rsidR="00621458" w:rsidRPr="00D60728" w:rsidTr="00C6633E">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5B6851" w:rsidRPr="00D60728">
              <w:rPr>
                <w:rFonts w:ascii="Times New Roman" w:hAnsi="Times New Roman"/>
                <w:i/>
                <w:iCs/>
                <w:sz w:val="20"/>
                <w:szCs w:val="20"/>
              </w:rPr>
              <w:t>19</w:t>
            </w:r>
            <w:r w:rsidRPr="00D60728">
              <w:rPr>
                <w:rFonts w:ascii="Times New Roman" w:hAnsi="Times New Roman"/>
                <w:i/>
                <w:iCs/>
                <w:sz w:val="20"/>
                <w:szCs w:val="20"/>
              </w:rPr>
              <w:t>.</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5B6851" w:rsidRPr="00D60728">
              <w:rPr>
                <w:rFonts w:ascii="Times New Roman" w:hAnsi="Times New Roman"/>
                <w:i/>
                <w:iCs/>
                <w:sz w:val="20"/>
                <w:szCs w:val="20"/>
              </w:rPr>
              <w:t>24</w:t>
            </w:r>
            <w:r w:rsidRPr="00D60728">
              <w:rPr>
                <w:rFonts w:ascii="Times New Roman" w:hAnsi="Times New Roman"/>
                <w:i/>
                <w:iCs/>
                <w:sz w:val="20"/>
                <w:szCs w:val="20"/>
              </w:rPr>
              <w:t>.</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auto"/>
            <w:vAlign w:val="center"/>
          </w:tcPr>
          <w:p w:rsidR="00621458" w:rsidRPr="00D60728" w:rsidRDefault="00A13EA0"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Sustavom obveza energetske učinkovitosti p</w:t>
            </w:r>
            <w:r w:rsidR="00621458" w:rsidRPr="00D60728">
              <w:rPr>
                <w:rFonts w:ascii="Times New Roman" w:hAnsi="Times New Roman"/>
                <w:i/>
                <w:iCs/>
                <w:sz w:val="20"/>
                <w:szCs w:val="20"/>
              </w:rPr>
              <w:t xml:space="preserve">ostići 50% ušteda </w:t>
            </w:r>
            <w:r w:rsidRPr="00D60728">
              <w:rPr>
                <w:rFonts w:ascii="Times New Roman" w:hAnsi="Times New Roman"/>
                <w:i/>
                <w:iCs/>
                <w:sz w:val="20"/>
                <w:szCs w:val="20"/>
              </w:rPr>
              <w:t xml:space="preserve">kumulativnog cilja prema članku </w:t>
            </w:r>
            <w:r w:rsidR="00621458" w:rsidRPr="00D60728">
              <w:rPr>
                <w:rFonts w:ascii="Times New Roman" w:hAnsi="Times New Roman"/>
                <w:i/>
                <w:iCs/>
                <w:sz w:val="20"/>
                <w:szCs w:val="20"/>
              </w:rPr>
              <w:t xml:space="preserve">7. Direktive o energetskoj učinkovitosti </w:t>
            </w:r>
          </w:p>
        </w:tc>
      </w:tr>
      <w:tr w:rsidR="00A13EA0" w:rsidRPr="00D60728" w:rsidTr="006D54B7">
        <w:trPr>
          <w:trHeight w:val="3525"/>
        </w:trPr>
        <w:tc>
          <w:tcPr>
            <w:tcW w:w="1129" w:type="dxa"/>
            <w:vMerge/>
            <w:vAlign w:val="center"/>
          </w:tcPr>
          <w:p w:rsidR="00A13EA0" w:rsidRPr="00D60728" w:rsidRDefault="00A13EA0" w:rsidP="00BF7DCC">
            <w:pPr>
              <w:spacing w:line="240" w:lineRule="auto"/>
              <w:jc w:val="left"/>
              <w:rPr>
                <w:rFonts w:ascii="Times New Roman" w:hAnsi="Times New Roman"/>
                <w:sz w:val="20"/>
                <w:szCs w:val="20"/>
              </w:rPr>
            </w:pPr>
          </w:p>
        </w:tc>
        <w:tc>
          <w:tcPr>
            <w:tcW w:w="1418" w:type="dxa"/>
            <w:vAlign w:val="center"/>
          </w:tcPr>
          <w:p w:rsidR="00A13EA0" w:rsidRPr="00D60728" w:rsidRDefault="00A13EA0"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A13EA0" w:rsidRPr="00D60728" w:rsidRDefault="00A13EA0" w:rsidP="00BF7DCC">
            <w:pPr>
              <w:spacing w:line="240" w:lineRule="auto"/>
              <w:rPr>
                <w:rFonts w:ascii="Times New Roman" w:hAnsi="Times New Roman"/>
                <w:i/>
                <w:iCs/>
                <w:sz w:val="20"/>
                <w:szCs w:val="20"/>
              </w:rPr>
            </w:pPr>
            <w:r w:rsidRPr="00D60728">
              <w:rPr>
                <w:rFonts w:ascii="Times New Roman" w:hAnsi="Times New Roman"/>
                <w:i/>
                <w:iCs/>
                <w:sz w:val="20"/>
                <w:szCs w:val="20"/>
              </w:rPr>
              <w:t>Sustav obveza energetske učinkovitosti uspostavljen je Zakonom o energetskoj učinkovitosti (NN 127/14, 116/18), a njegovo funkcioniranje se pobliže utvrđuje Pravilnikom o sustavu obveza energetske učinkovitosti (NN 41/19). Obveznici sustava obveze energetske učinkovitosti su opskrbljivači energijom. Sustav je funkcionalan od 2019. godine, kada u njega ulaze opskrbljivači koji su na tržište isporučili više od 300 GWh energije tijekom 2017. godine. U 2020. godini u sustav obveze ulaze opskrbljivači koji su na tržište isporučili više od 100 GWh energije tijekom 2018. godine, a od 2021. godine pa nadalje obveznici su svi oni opskrbljivači koji su na tržište isporučili više od 50 GWh energije tijekom pretprošle godine u odnosu na relevantnu godinu. Cilj je postići 50% ušteda iz članka 7. Direktive o energetskoj učinkovitosti sustavom obveza energetske učinkovitosti. Pretpostavljeno je ravnomjerno ostvarivanje ušteda u svakoj godini u iznosu od 0,5 PJ (11,7 ktoe ) godišnje.</w:t>
            </w:r>
          </w:p>
        </w:tc>
      </w:tr>
      <w:tr w:rsidR="00621458" w:rsidRPr="00D60728" w:rsidTr="00C6633E">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lastRenderedPageBreak/>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ListParagraph"/>
              <w:numPr>
                <w:ilvl w:val="0"/>
                <w:numId w:val="55"/>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MZOE rješenjem svakoj stranci obveznici do 30. lipnja tekuće godine utvrđuje točan godišnji iznos obveze uštede energije u kWh za narednu godinu, raspoređujući na sve stranke obveznice dio nacionalnog okvirnog cilja ušteda energije za iduću godinu koji se ostvaruje kroz sustav obveze, kao i kumulativni cilj uštede energije do kraja trenutnog razdoblja kumuliranja;</w:t>
            </w:r>
          </w:p>
          <w:p w:rsidR="00621458" w:rsidRPr="00D60728" w:rsidRDefault="00621458" w:rsidP="00BF7DCC">
            <w:pPr>
              <w:pStyle w:val="ListParagraph"/>
              <w:numPr>
                <w:ilvl w:val="0"/>
                <w:numId w:val="55"/>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Opskrbljivači svoju obvezu mogu ostvariti na jedan od sljedeća tri ključna načina: ulaganjem u i poticanjem poboljšanja energetske učinkovitosti u neposrednoj potrošnji; kupnjom uštede ili uplatom naknade u Fond za zaštitu okoliša i energetsku učinkovitost. Opskrbljivačima se ne propisuju niti prihvatljivi sektori za ulaganja niti prihvatljive mjere za ulaganja, dok god je uštede iz tih ulaganja moguće dokazati metodama iz Pravilnika o sustavu za praćenje, mjerenje i verifikaciju ušteda energije. Ulaganje se ne smije odnositi na aktivnosti koje su prethodno obuhvaćene alternativnim mjerama.; </w:t>
            </w:r>
          </w:p>
          <w:p w:rsidR="00621458" w:rsidRPr="00D60728" w:rsidRDefault="00621458" w:rsidP="00BF7DCC">
            <w:pPr>
              <w:pStyle w:val="ListParagraph"/>
              <w:numPr>
                <w:ilvl w:val="0"/>
                <w:numId w:val="55"/>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Nužno je izmijeniti i redovito unaprjeđivati Pravilnik o sustavu za praćenje, mjerenje i verifikaciju ušteda energije, kako bi se proširio njegov obuhvat na većinu mjera koje opskrbljivači provode; </w:t>
            </w:r>
          </w:p>
          <w:p w:rsidR="00621458" w:rsidRPr="00D60728" w:rsidRDefault="00621458" w:rsidP="00BF7DCC">
            <w:pPr>
              <w:pStyle w:val="ListParagraph"/>
              <w:numPr>
                <w:ilvl w:val="0"/>
                <w:numId w:val="55"/>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Na temelju iskustva iz prethodnog razdoblja i odrednica Direktive 2018/2002 o energetskoj učinkovitosti potrebno je razmotriti i zakonske izmjene s ciljem boljeg funkcioniranja sustava, pogotovo u dijelu trgovanja uštedama; </w:t>
            </w:r>
          </w:p>
          <w:p w:rsidR="00621458" w:rsidRPr="00D60728" w:rsidRDefault="00621458" w:rsidP="00BF7DCC">
            <w:pPr>
              <w:pStyle w:val="ListParagraph"/>
              <w:numPr>
                <w:ilvl w:val="0"/>
                <w:numId w:val="55"/>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Prihode od naknade koju prikuplja s osnove sustava obveza, Fond mora namjenski koristiti. Zbog toga je potrebno izraditi Plan korištenja sredstava prikupljenih od naknade za sustav obveze, a s čijom primjenom Fond mora započeti od 2021. godine. Izrada ovakvog Plana je apsolutno nužna kako bi se osigurala optimalna raspodjela sredstava iz svih raspoloživih izvora i kako bi Fond imao jasne smjernice u koje mjere ulagati ova sredstva. S obzirom na alternativne mjere dane u ovom Planu, ova je sredstva nužno usmjeriti na sektor zgradarstva, poglavito na javne zgrade središnje državne uprave i obiteljske kuće. </w:t>
            </w:r>
          </w:p>
        </w:tc>
      </w:tr>
      <w:tr w:rsidR="00A13EA0" w:rsidRPr="00D60728" w:rsidTr="00C6633E">
        <w:trPr>
          <w:trHeight w:val="680"/>
        </w:trPr>
        <w:tc>
          <w:tcPr>
            <w:tcW w:w="1129" w:type="dxa"/>
            <w:vMerge/>
            <w:vAlign w:val="center"/>
            <w:hideMark/>
          </w:tcPr>
          <w:p w:rsidR="00A13EA0" w:rsidRPr="00D60728" w:rsidRDefault="00A13EA0" w:rsidP="00BF7DCC">
            <w:pPr>
              <w:spacing w:line="240" w:lineRule="auto"/>
              <w:jc w:val="left"/>
              <w:rPr>
                <w:rFonts w:ascii="Times New Roman" w:hAnsi="Times New Roman"/>
                <w:sz w:val="20"/>
                <w:szCs w:val="20"/>
              </w:rPr>
            </w:pPr>
          </w:p>
        </w:tc>
        <w:tc>
          <w:tcPr>
            <w:tcW w:w="1418" w:type="dxa"/>
            <w:vAlign w:val="center"/>
            <w:hideMark/>
          </w:tcPr>
          <w:p w:rsidR="00A13EA0" w:rsidRPr="00D60728" w:rsidRDefault="00A13EA0"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A13EA0" w:rsidRPr="00D60728" w:rsidRDefault="00A13EA0" w:rsidP="00BF7DCC">
            <w:pPr>
              <w:spacing w:line="240" w:lineRule="auto"/>
              <w:rPr>
                <w:rFonts w:ascii="Times New Roman" w:hAnsi="Times New Roman"/>
                <w:i/>
                <w:iCs/>
                <w:sz w:val="20"/>
                <w:szCs w:val="20"/>
              </w:rPr>
            </w:pPr>
            <w:r w:rsidRPr="00D60728">
              <w:rPr>
                <w:rFonts w:ascii="Times New Roman" w:hAnsi="Times New Roman"/>
                <w:i/>
                <w:iCs/>
                <w:sz w:val="20"/>
                <w:szCs w:val="20"/>
              </w:rPr>
              <w:t>Obveznici sustava obveze energetske učinkovitosti (opskrbljivači)</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Sredstva obveznika sustava obveze energetske učinkovitosti</w:t>
            </w:r>
          </w:p>
        </w:tc>
      </w:tr>
      <w:tr w:rsidR="00904FBA" w:rsidRPr="00D60728" w:rsidTr="00C6633E">
        <w:trPr>
          <w:trHeight w:val="1757"/>
        </w:trPr>
        <w:tc>
          <w:tcPr>
            <w:tcW w:w="1129" w:type="dxa"/>
            <w:vMerge w:val="restart"/>
            <w:vAlign w:val="center"/>
            <w:hideMark/>
          </w:tcPr>
          <w:p w:rsidR="00904FBA" w:rsidRPr="00D60728" w:rsidRDefault="00904FBA"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904FBA" w:rsidRPr="00D60728" w:rsidRDefault="00904FBA"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904FBA" w:rsidRPr="00D60728" w:rsidRDefault="00904FBA"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neposredne potrošnje energije i posljedično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p w:rsidR="00904FBA" w:rsidRPr="00D60728" w:rsidRDefault="00904FBA"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procijenjene uštede u 2030. 5,00 PJ (117,0 ktoe);</w:t>
            </w:r>
          </w:p>
          <w:p w:rsidR="00904FBA" w:rsidRPr="00D60728" w:rsidRDefault="00904FBA"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2030. 137,62 ktCO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p w:rsidR="00904FBA" w:rsidRPr="00D60728" w:rsidRDefault="00904FBA"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kumulativne uštede energije u razdoblju 2021.-2030. 27,0 PJ (644,9 ktoe);</w:t>
            </w:r>
          </w:p>
          <w:p w:rsidR="00904FBA" w:rsidRPr="00D60728" w:rsidRDefault="00904FBA"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kumulativno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razdoblju 2021.-2030. 769,16 ktCO</w:t>
            </w:r>
            <w:r w:rsidRPr="00D60728">
              <w:rPr>
                <w:rFonts w:ascii="Times New Roman" w:hAnsi="Times New Roman"/>
                <w:i/>
                <w:iCs/>
                <w:sz w:val="20"/>
                <w:szCs w:val="20"/>
                <w:vertAlign w:val="subscript"/>
              </w:rPr>
              <w:t>2e</w:t>
            </w:r>
          </w:p>
        </w:tc>
      </w:tr>
      <w:tr w:rsidR="00904FBA" w:rsidRPr="00D60728" w:rsidTr="00C6633E">
        <w:trPr>
          <w:trHeight w:val="1134"/>
        </w:trPr>
        <w:tc>
          <w:tcPr>
            <w:tcW w:w="1129" w:type="dxa"/>
            <w:vMerge/>
            <w:vAlign w:val="center"/>
            <w:hideMark/>
          </w:tcPr>
          <w:p w:rsidR="00904FBA" w:rsidRPr="00D60728" w:rsidRDefault="00904FBA" w:rsidP="00BF7DCC">
            <w:pPr>
              <w:spacing w:line="240" w:lineRule="auto"/>
              <w:jc w:val="left"/>
              <w:rPr>
                <w:rFonts w:ascii="Times New Roman" w:hAnsi="Times New Roman"/>
                <w:sz w:val="20"/>
                <w:szCs w:val="20"/>
              </w:rPr>
            </w:pPr>
          </w:p>
        </w:tc>
        <w:tc>
          <w:tcPr>
            <w:tcW w:w="1418" w:type="dxa"/>
            <w:vAlign w:val="center"/>
          </w:tcPr>
          <w:p w:rsidR="00904FBA" w:rsidRPr="00D60728" w:rsidRDefault="00904FBA"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904FBA" w:rsidRPr="00D60728" w:rsidRDefault="00904FBA"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Ostvarene uštede prate se i dokazuju korištenjem metoda odozdo-prema-gore prema Pravilniku o sustavu za praćenje, mjerenje i verifikaciju ušteda energije</w:t>
            </w:r>
          </w:p>
        </w:tc>
      </w:tr>
    </w:tbl>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621458" w:rsidRPr="00D60728" w:rsidRDefault="00621458" w:rsidP="00BF7DCC">
      <w:pPr>
        <w:pStyle w:val="Caption"/>
        <w:keepNext/>
        <w:spacing w:after="0" w:line="240" w:lineRule="auto"/>
        <w:rPr>
          <w:sz w:val="20"/>
          <w:szCs w:val="20"/>
        </w:rPr>
      </w:pPr>
    </w:p>
    <w:p w:rsidR="00BE6EFF" w:rsidRPr="00D60728" w:rsidRDefault="00BE6EFF" w:rsidP="00BF7DCC">
      <w:pPr>
        <w:spacing w:line="240" w:lineRule="auto"/>
        <w:rPr>
          <w:sz w:val="20"/>
          <w:szCs w:val="20"/>
        </w:rPr>
      </w:pPr>
      <w:r w:rsidRPr="00D60728">
        <w:rPr>
          <w:sz w:val="20"/>
          <w:szCs w:val="20"/>
        </w:rPr>
        <w:br w:type="page"/>
      </w:r>
    </w:p>
    <w:tbl>
      <w:tblPr>
        <w:tblStyle w:val="TableGrid"/>
        <w:tblW w:w="9175" w:type="dxa"/>
        <w:tblLayout w:type="fixed"/>
        <w:tblLook w:val="04A0" w:firstRow="1" w:lastRow="0" w:firstColumn="1" w:lastColumn="0" w:noHBand="0" w:noVBand="1"/>
      </w:tblPr>
      <w:tblGrid>
        <w:gridCol w:w="1129"/>
        <w:gridCol w:w="1418"/>
        <w:gridCol w:w="6628"/>
      </w:tblGrid>
      <w:tr w:rsidR="00621458" w:rsidRPr="006D54B7" w:rsidTr="00C6633E">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lastRenderedPageBreak/>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B65C5D">
              <w:rPr>
                <w:rFonts w:ascii="Times New Roman" w:hAnsi="Times New Roman"/>
                <w:b/>
                <w:i/>
                <w:iCs/>
                <w:highlight w:val="yellow"/>
              </w:rPr>
              <w:t>Zelena javna nabava</w:t>
            </w:r>
          </w:p>
        </w:tc>
      </w:tr>
      <w:tr w:rsidR="00621458" w:rsidRPr="00D60728" w:rsidTr="00C6633E">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MCC-15</w:t>
            </w:r>
          </w:p>
        </w:tc>
      </w:tr>
      <w:tr w:rsidR="00621458" w:rsidRPr="00D60728" w:rsidTr="00C6633E">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mjera</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BE6EFF" w:rsidRPr="00D60728">
              <w:rPr>
                <w:rFonts w:ascii="Times New Roman" w:hAnsi="Times New Roman"/>
                <w:i/>
                <w:iCs/>
                <w:sz w:val="20"/>
                <w:szCs w:val="20"/>
              </w:rPr>
              <w:t>20</w:t>
            </w:r>
            <w:r w:rsidRPr="00D60728">
              <w:rPr>
                <w:rFonts w:ascii="Times New Roman" w:hAnsi="Times New Roman"/>
                <w:i/>
                <w:iCs/>
                <w:sz w:val="20"/>
                <w:szCs w:val="20"/>
              </w:rPr>
              <w:t>.</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BE6EFF" w:rsidRPr="00D60728">
              <w:rPr>
                <w:rFonts w:ascii="Times New Roman" w:hAnsi="Times New Roman"/>
                <w:i/>
                <w:iCs/>
                <w:sz w:val="20"/>
                <w:szCs w:val="20"/>
              </w:rPr>
              <w:t>24</w:t>
            </w:r>
            <w:r w:rsidRPr="00D60728">
              <w:rPr>
                <w:rFonts w:ascii="Times New Roman" w:hAnsi="Times New Roman"/>
                <w:i/>
                <w:iCs/>
                <w:sz w:val="20"/>
                <w:szCs w:val="20"/>
              </w:rPr>
              <w:t>.</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B65C5D">
              <w:rPr>
                <w:rFonts w:ascii="Times New Roman" w:hAnsi="Times New Roman"/>
                <w:i/>
                <w:iCs/>
                <w:sz w:val="20"/>
                <w:szCs w:val="20"/>
                <w:highlight w:val="yellow"/>
              </w:rPr>
              <w:t>Cilj je u 2030. godini imati 75% provedenih postupaka javne nabave s primijenjenim mjerilima zelene javne nabave.</w:t>
            </w:r>
          </w:p>
        </w:tc>
      </w:tr>
      <w:tr w:rsidR="00BE6EFF" w:rsidRPr="00D60728" w:rsidTr="00C6633E">
        <w:trPr>
          <w:trHeight w:val="3175"/>
        </w:trPr>
        <w:tc>
          <w:tcPr>
            <w:tcW w:w="1129" w:type="dxa"/>
            <w:vMerge/>
            <w:vAlign w:val="center"/>
          </w:tcPr>
          <w:p w:rsidR="00BE6EFF" w:rsidRPr="00D60728" w:rsidRDefault="00BE6EFF" w:rsidP="00BF7DCC">
            <w:pPr>
              <w:spacing w:line="240" w:lineRule="auto"/>
              <w:jc w:val="left"/>
              <w:rPr>
                <w:rFonts w:ascii="Times New Roman" w:hAnsi="Times New Roman"/>
                <w:sz w:val="20"/>
                <w:szCs w:val="20"/>
              </w:rPr>
            </w:pPr>
          </w:p>
        </w:tc>
        <w:tc>
          <w:tcPr>
            <w:tcW w:w="1418" w:type="dxa"/>
            <w:vAlign w:val="center"/>
          </w:tcPr>
          <w:p w:rsidR="00BE6EFF" w:rsidRPr="00D60728" w:rsidRDefault="00BE6EFF"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BE6EFF" w:rsidRPr="00D60728" w:rsidRDefault="00BE6EFF" w:rsidP="00BF7DCC">
            <w:pPr>
              <w:spacing w:line="240" w:lineRule="auto"/>
              <w:rPr>
                <w:rFonts w:ascii="Times New Roman" w:hAnsi="Times New Roman"/>
                <w:i/>
                <w:iCs/>
                <w:sz w:val="20"/>
                <w:szCs w:val="20"/>
              </w:rPr>
            </w:pPr>
            <w:r w:rsidRPr="00D60728">
              <w:rPr>
                <w:rFonts w:ascii="Times New Roman" w:hAnsi="Times New Roman"/>
                <w:i/>
                <w:iCs/>
                <w:sz w:val="20"/>
                <w:szCs w:val="20"/>
              </w:rPr>
              <w:t>Vlada Republike Hrvatske usvojila je 2015. godine I. nacionalni akcijski plan za Zelenu javnu nabavu za razdoblje od 2015. do 2017. godine s pogledom do 2020. godine te je zelena javna nabava prihvaćena i kao mjera u 4. NAPEnU, koji postavlja cilj da do 2020. godine u 50% provedenih postupaka javne nabave budu primijenjena mjerila zelene javne nabave. Osnovano je nacionalno Povjerenstvo za zelenu javnu nabavu koje prati provedbu ZeJN putem anketnog upitnika i elektroničkog oglasnika javne nabave. Ova mjera predstavlja nastavak započetih mjera i daljnje ozelenjivanje postupaka javne nabave. Zelenom javnom nabavom favorizirat će se inovativni niskougljični proizvodi i usluge, čime će se dodatno potaknuti njihov ulazak na tržište, a javni sektor će služiti kao dobar primjer.</w:t>
            </w:r>
          </w:p>
        </w:tc>
      </w:tr>
      <w:tr w:rsidR="00621458" w:rsidRPr="00D60728" w:rsidTr="00C6633E">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Izobrazba sudionika u javnoj nabavi i promidžbu mjerila zelene javne nabave; </w:t>
            </w:r>
          </w:p>
          <w:p w:rsidR="00621458" w:rsidRPr="00D60728" w:rsidRDefault="00621458"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Unaprjeđenje praćenja provedbe zelene javne nabave, s ciljem kvantifikacije učinaka - obveznici javne nabave dužni su objaviti početkom godine svoje planove javne nabave na web stranicama, međutim statističko izvješće o javnoj nabavi koje se generira iz EOJN, sadrži i informaciju jesu li korištena mjerila ZeJN te će za 2017.g. biti izrađeno tek početkom 2018.g., međutim bez navođenja detalja – stoga, bez razrade načina praćenja ZeJN u EOJN-u nije moguće izračunati uštede energije te je obvezno unaprijediti sustav praćenja; </w:t>
            </w:r>
          </w:p>
          <w:p w:rsidR="00621458" w:rsidRPr="00D60728" w:rsidRDefault="00621458" w:rsidP="00BF7DCC">
            <w:pPr>
              <w:pStyle w:val="ListParagraph"/>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Kontinuirani razvoj novih kriterija i mjerila za zelenu javnu nabavu, uključujući energetsku učinkovitost.</w:t>
            </w:r>
          </w:p>
        </w:tc>
      </w:tr>
      <w:tr w:rsidR="007A0F8E" w:rsidRPr="00D60728" w:rsidTr="00C6633E">
        <w:trPr>
          <w:trHeight w:val="1191"/>
        </w:trPr>
        <w:tc>
          <w:tcPr>
            <w:tcW w:w="1129" w:type="dxa"/>
            <w:vMerge/>
            <w:vAlign w:val="center"/>
            <w:hideMark/>
          </w:tcPr>
          <w:p w:rsidR="007A0F8E" w:rsidRPr="00D60728" w:rsidRDefault="007A0F8E" w:rsidP="00BF7DCC">
            <w:pPr>
              <w:spacing w:line="240" w:lineRule="auto"/>
              <w:jc w:val="left"/>
              <w:rPr>
                <w:rFonts w:ascii="Times New Roman" w:hAnsi="Times New Roman"/>
                <w:sz w:val="20"/>
                <w:szCs w:val="20"/>
              </w:rPr>
            </w:pPr>
          </w:p>
        </w:tc>
        <w:tc>
          <w:tcPr>
            <w:tcW w:w="1418" w:type="dxa"/>
            <w:vAlign w:val="center"/>
            <w:hideMark/>
          </w:tcPr>
          <w:p w:rsidR="007A0F8E" w:rsidRPr="00D60728" w:rsidRDefault="007A0F8E"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7A0F8E" w:rsidRPr="00D60728" w:rsidRDefault="007A0F8E" w:rsidP="00BF7DCC">
            <w:pPr>
              <w:spacing w:line="240" w:lineRule="auto"/>
              <w:rPr>
                <w:rFonts w:ascii="Times New Roman" w:hAnsi="Times New Roman"/>
                <w:i/>
                <w:iCs/>
                <w:sz w:val="20"/>
                <w:szCs w:val="20"/>
              </w:rPr>
            </w:pPr>
            <w:r w:rsidRPr="00D60728">
              <w:rPr>
                <w:rFonts w:ascii="Times New Roman" w:hAnsi="Times New Roman"/>
                <w:i/>
                <w:iCs/>
                <w:sz w:val="20"/>
                <w:szCs w:val="20"/>
              </w:rPr>
              <w:t>MZOE u suradnji s članovima Povjerenstva za zelenu javnu nabavu</w:t>
            </w:r>
          </w:p>
          <w:p w:rsidR="007A0F8E" w:rsidRPr="00D60728" w:rsidRDefault="007A0F8E" w:rsidP="00BF7DCC">
            <w:pPr>
              <w:spacing w:line="240" w:lineRule="auto"/>
              <w:rPr>
                <w:rFonts w:ascii="Times New Roman" w:hAnsi="Times New Roman"/>
                <w:i/>
                <w:iCs/>
                <w:sz w:val="20"/>
                <w:szCs w:val="20"/>
              </w:rPr>
            </w:pPr>
            <w:r w:rsidRPr="00D60728">
              <w:rPr>
                <w:rFonts w:ascii="Times New Roman" w:hAnsi="Times New Roman"/>
                <w:i/>
                <w:iCs/>
                <w:sz w:val="20"/>
                <w:szCs w:val="20"/>
              </w:rPr>
              <w:t>Državni ured za središnju javnu nabavu</w:t>
            </w:r>
          </w:p>
          <w:p w:rsidR="007A0F8E" w:rsidRPr="00D60728" w:rsidRDefault="007A0F8E" w:rsidP="00BF7DCC">
            <w:pPr>
              <w:spacing w:line="240" w:lineRule="auto"/>
              <w:rPr>
                <w:rFonts w:ascii="Times New Roman" w:hAnsi="Times New Roman"/>
                <w:i/>
                <w:iCs/>
                <w:sz w:val="20"/>
                <w:szCs w:val="20"/>
              </w:rPr>
            </w:pPr>
            <w:r w:rsidRPr="00D60728">
              <w:rPr>
                <w:rFonts w:ascii="Times New Roman" w:hAnsi="Times New Roman"/>
                <w:i/>
                <w:iCs/>
                <w:sz w:val="20"/>
                <w:szCs w:val="20"/>
              </w:rPr>
              <w:t>Tijela državne uprave</w:t>
            </w:r>
          </w:p>
          <w:p w:rsidR="007A0F8E" w:rsidRPr="00D60728" w:rsidRDefault="007A0F8E" w:rsidP="00BF7DCC">
            <w:pPr>
              <w:spacing w:line="240" w:lineRule="auto"/>
              <w:rPr>
                <w:rFonts w:ascii="Times New Roman" w:hAnsi="Times New Roman"/>
                <w:i/>
                <w:iCs/>
                <w:sz w:val="20"/>
                <w:szCs w:val="20"/>
              </w:rPr>
            </w:pPr>
            <w:r w:rsidRPr="00D60728">
              <w:rPr>
                <w:rFonts w:ascii="Times New Roman" w:hAnsi="Times New Roman"/>
                <w:i/>
                <w:iCs/>
                <w:sz w:val="20"/>
                <w:szCs w:val="20"/>
              </w:rPr>
              <w:t>JLP(R)S i drugi obveznici javne nabave</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Sredstva potrebna za provedbu svih predviđenih aktivnosti planira MZOE u sklopu svojih redovnih aktivnosti i proračuna</w:t>
            </w:r>
          </w:p>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(MZOE)</w:t>
            </w:r>
          </w:p>
        </w:tc>
      </w:tr>
      <w:tr w:rsidR="004A53D5" w:rsidRPr="00D60728" w:rsidTr="00C6633E">
        <w:trPr>
          <w:trHeight w:val="680"/>
        </w:trPr>
        <w:tc>
          <w:tcPr>
            <w:tcW w:w="1129" w:type="dxa"/>
            <w:vMerge w:val="restart"/>
            <w:vAlign w:val="center"/>
            <w:hideMark/>
          </w:tcPr>
          <w:p w:rsidR="004A53D5" w:rsidRPr="00D60728" w:rsidRDefault="004A53D5"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4A53D5" w:rsidRPr="00D60728" w:rsidRDefault="004A53D5"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4A53D5" w:rsidRPr="00D60728" w:rsidRDefault="004A53D5"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potrošnje energije u javnim zgradama; promjene navika i ponašanja korisnika zgrada javnog sektora</w:t>
            </w:r>
          </w:p>
        </w:tc>
      </w:tr>
      <w:tr w:rsidR="001B5298" w:rsidRPr="00D60728" w:rsidTr="00C6633E">
        <w:trPr>
          <w:trHeight w:val="2268"/>
        </w:trPr>
        <w:tc>
          <w:tcPr>
            <w:tcW w:w="1129" w:type="dxa"/>
            <w:vMerge/>
            <w:vAlign w:val="center"/>
            <w:hideMark/>
          </w:tcPr>
          <w:p w:rsidR="001B5298" w:rsidRPr="00D60728" w:rsidRDefault="001B5298" w:rsidP="00BF7DCC">
            <w:pPr>
              <w:spacing w:line="240" w:lineRule="auto"/>
              <w:jc w:val="left"/>
              <w:rPr>
                <w:rFonts w:ascii="Times New Roman" w:hAnsi="Times New Roman"/>
                <w:sz w:val="20"/>
                <w:szCs w:val="20"/>
              </w:rPr>
            </w:pPr>
          </w:p>
        </w:tc>
        <w:tc>
          <w:tcPr>
            <w:tcW w:w="1418" w:type="dxa"/>
            <w:vAlign w:val="center"/>
          </w:tcPr>
          <w:p w:rsidR="001B5298" w:rsidRPr="00D60728" w:rsidRDefault="001B5298"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1B5298" w:rsidRPr="00D60728" w:rsidRDefault="001B5298"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Praćenje ostvarenih ušteda energije u budućnosti će se provoditi primjenom BU metoda za svaku pojedinu skupinu uređaja koja se nabavljala uvažavajući kriterije energetske učinkovitosti.</w:t>
            </w:r>
          </w:p>
          <w:p w:rsidR="001B5298" w:rsidRPr="00D60728" w:rsidRDefault="001B5298"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Državni ured za središnju javnu nabavu prati podatke o količinama i tipovima nabavljene opreme te podatke dostavlja NKT-u koji ih unosi u SMIV</w:t>
            </w:r>
          </w:p>
          <w:p w:rsidR="001B5298" w:rsidRPr="00D60728" w:rsidRDefault="001B5298"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Potrebno je pratiti količine svih nabava u kojima se primjenjuju 'zeleni' kriteriji</w:t>
            </w:r>
          </w:p>
        </w:tc>
      </w:tr>
    </w:tbl>
    <w:p w:rsidR="00621458" w:rsidRPr="00D60728" w:rsidRDefault="00621458" w:rsidP="00BF7DCC">
      <w:pPr>
        <w:spacing w:line="240" w:lineRule="auto"/>
        <w:rPr>
          <w:sz w:val="20"/>
          <w:szCs w:val="20"/>
        </w:rPr>
      </w:pPr>
    </w:p>
    <w:p w:rsidR="005611B3" w:rsidRPr="00D60728" w:rsidRDefault="005611B3"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621458" w:rsidRPr="006D54B7" w:rsidTr="00C6633E">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Integrirani informacijski sustav za praćenje energetske učinkovitosti</w:t>
            </w:r>
          </w:p>
        </w:tc>
      </w:tr>
      <w:tr w:rsidR="00621458" w:rsidRPr="00D60728" w:rsidTr="00C6633E">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MCC-16</w:t>
            </w:r>
          </w:p>
        </w:tc>
      </w:tr>
      <w:tr w:rsidR="00621458" w:rsidRPr="00D60728" w:rsidTr="00C6633E">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mjera</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2014.</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2030.</w:t>
            </w:r>
          </w:p>
        </w:tc>
      </w:tr>
      <w:tr w:rsidR="005611B3" w:rsidRPr="00D60728" w:rsidTr="00C6633E">
        <w:trPr>
          <w:trHeight w:val="2268"/>
        </w:trPr>
        <w:tc>
          <w:tcPr>
            <w:tcW w:w="1129" w:type="dxa"/>
            <w:vMerge/>
            <w:vAlign w:val="center"/>
            <w:hideMark/>
          </w:tcPr>
          <w:p w:rsidR="005611B3" w:rsidRPr="00D60728" w:rsidRDefault="005611B3" w:rsidP="00BF7DCC">
            <w:pPr>
              <w:spacing w:line="240" w:lineRule="auto"/>
              <w:jc w:val="left"/>
              <w:rPr>
                <w:rFonts w:ascii="Times New Roman" w:hAnsi="Times New Roman"/>
                <w:sz w:val="20"/>
                <w:szCs w:val="20"/>
              </w:rPr>
            </w:pPr>
          </w:p>
        </w:tc>
        <w:tc>
          <w:tcPr>
            <w:tcW w:w="1418" w:type="dxa"/>
            <w:vAlign w:val="center"/>
            <w:hideMark/>
          </w:tcPr>
          <w:p w:rsidR="005611B3" w:rsidRPr="00D60728" w:rsidRDefault="005611B3"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5611B3" w:rsidRPr="00D60728" w:rsidRDefault="005611B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Sustav za mjerenje i verifikaciju ušteda energije (SMiV) uspostavljen je na temelju Zakona o energetskoj učinkovitosti i Pravilnikom o sustavu za praćenje, mjerenje i verifikaciju ušteda energije. Sustav je izuzetno važan jer se kroz njega prate uštede energije i rezultirajuće smanjenje stakleničkih plinova te se podatci iz sustava koriste za izvješćivanje. U sljedećem razdoblju nužno je održavati i unaprjeđivati funkcionalnost sustava, povezati ga s drugim sustavima (ISGE) te informirati i obučavati obveznike o pravilnom unosu podatka potrebnih za izračun i verifikaciju ušteda energije.</w:t>
            </w:r>
          </w:p>
        </w:tc>
      </w:tr>
      <w:tr w:rsidR="00621458" w:rsidRPr="00D60728" w:rsidTr="00C6633E">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ListParagraph"/>
              <w:numPr>
                <w:ilvl w:val="0"/>
                <w:numId w:val="56"/>
              </w:numPr>
              <w:spacing w:line="240" w:lineRule="auto"/>
              <w:ind w:left="284" w:hanging="284"/>
              <w:rPr>
                <w:rFonts w:ascii="Times New Roman" w:hAnsi="Times New Roman"/>
                <w:i/>
                <w:sz w:val="20"/>
                <w:szCs w:val="20"/>
              </w:rPr>
            </w:pPr>
            <w:r w:rsidRPr="00D60728">
              <w:rPr>
                <w:rFonts w:ascii="Times New Roman" w:hAnsi="Times New Roman"/>
                <w:i/>
                <w:sz w:val="20"/>
                <w:szCs w:val="20"/>
              </w:rPr>
              <w:t>daljnja nadogradnja, razvoj i adaptivno održavanje SMIV-a, njegovo povezivanje s drugim sustavima s ciljem izgradnje integriranog informacijskog i informatičkog sustava za praćenje provedbe politike energetske učinkovitosti</w:t>
            </w:r>
          </w:p>
        </w:tc>
      </w:tr>
      <w:tr w:rsidR="005611B3" w:rsidRPr="00D60728" w:rsidTr="00C6633E">
        <w:trPr>
          <w:trHeight w:val="918"/>
        </w:trPr>
        <w:tc>
          <w:tcPr>
            <w:tcW w:w="1129" w:type="dxa"/>
            <w:vMerge/>
            <w:vAlign w:val="center"/>
            <w:hideMark/>
          </w:tcPr>
          <w:p w:rsidR="005611B3" w:rsidRPr="00D60728" w:rsidRDefault="005611B3" w:rsidP="00BF7DCC">
            <w:pPr>
              <w:spacing w:line="240" w:lineRule="auto"/>
              <w:jc w:val="left"/>
              <w:rPr>
                <w:rFonts w:ascii="Times New Roman" w:hAnsi="Times New Roman"/>
                <w:sz w:val="20"/>
                <w:szCs w:val="20"/>
              </w:rPr>
            </w:pPr>
          </w:p>
        </w:tc>
        <w:tc>
          <w:tcPr>
            <w:tcW w:w="1418" w:type="dxa"/>
            <w:vAlign w:val="center"/>
            <w:hideMark/>
          </w:tcPr>
          <w:p w:rsidR="005611B3" w:rsidRPr="00D60728" w:rsidRDefault="005611B3"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5611B3" w:rsidRPr="00D60728" w:rsidRDefault="005611B3" w:rsidP="00BF7DCC">
            <w:pPr>
              <w:spacing w:line="240" w:lineRule="auto"/>
              <w:rPr>
                <w:rFonts w:ascii="Times New Roman" w:hAnsi="Times New Roman"/>
                <w:i/>
                <w:iCs/>
                <w:sz w:val="20"/>
                <w:szCs w:val="20"/>
              </w:rPr>
            </w:pPr>
            <w:r w:rsidRPr="00D60728">
              <w:rPr>
                <w:rFonts w:ascii="Times New Roman" w:hAnsi="Times New Roman"/>
                <w:i/>
                <w:iCs/>
                <w:sz w:val="20"/>
                <w:szCs w:val="20"/>
              </w:rPr>
              <w:t>MZOE-NKT</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Sredstva potrebna za provedbu svih predviđenih aktivnosti planira MZOE u sklopu svojih redovnih aktivnosti i proračuna</w:t>
            </w:r>
          </w:p>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Izvori financiranja: Državni proračun (MZOE)</w:t>
            </w:r>
          </w:p>
        </w:tc>
      </w:tr>
      <w:tr w:rsidR="004B4207" w:rsidRPr="00D60728" w:rsidTr="00C6633E">
        <w:trPr>
          <w:trHeight w:val="1247"/>
        </w:trPr>
        <w:tc>
          <w:tcPr>
            <w:tcW w:w="1129" w:type="dxa"/>
            <w:vMerge w:val="restart"/>
            <w:vAlign w:val="center"/>
            <w:hideMark/>
          </w:tcPr>
          <w:p w:rsidR="004B4207" w:rsidRPr="00D60728" w:rsidRDefault="004B4207"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4B4207" w:rsidRPr="00D60728" w:rsidRDefault="004B4207"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4B4207" w:rsidRPr="00D60728" w:rsidRDefault="004B4207"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Sustavno praćenje provedbe mjera ENU i kvantifikacija njihovih učinaka;</w:t>
            </w:r>
          </w:p>
          <w:p w:rsidR="004B4207" w:rsidRPr="00D60728" w:rsidRDefault="004B4207"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olakšano izvješćivanje na svim razinama;</w:t>
            </w:r>
          </w:p>
          <w:p w:rsidR="004B4207" w:rsidRPr="00D60728" w:rsidRDefault="004B4207"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olakšano planiranje novih mjera i revidiranje postojećih na temelju dokaza o učincima provedbe</w:t>
            </w:r>
          </w:p>
        </w:tc>
      </w:tr>
      <w:tr w:rsidR="004B4207" w:rsidRPr="00D60728" w:rsidTr="00C6633E">
        <w:trPr>
          <w:trHeight w:val="1120"/>
        </w:trPr>
        <w:tc>
          <w:tcPr>
            <w:tcW w:w="1129" w:type="dxa"/>
            <w:vMerge/>
            <w:vAlign w:val="center"/>
            <w:hideMark/>
          </w:tcPr>
          <w:p w:rsidR="004B4207" w:rsidRPr="00D60728" w:rsidRDefault="004B4207" w:rsidP="00BF7DCC">
            <w:pPr>
              <w:spacing w:line="240" w:lineRule="auto"/>
              <w:jc w:val="left"/>
              <w:rPr>
                <w:rFonts w:ascii="Times New Roman" w:hAnsi="Times New Roman"/>
                <w:sz w:val="20"/>
                <w:szCs w:val="20"/>
              </w:rPr>
            </w:pPr>
          </w:p>
        </w:tc>
        <w:tc>
          <w:tcPr>
            <w:tcW w:w="1418" w:type="dxa"/>
            <w:vAlign w:val="center"/>
          </w:tcPr>
          <w:p w:rsidR="004B4207" w:rsidRPr="00D60728" w:rsidRDefault="004B4207"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4B4207" w:rsidRPr="00D60728" w:rsidRDefault="004B4207"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izvještaji MZOE</w:t>
            </w:r>
          </w:p>
        </w:tc>
      </w:tr>
    </w:tbl>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621458" w:rsidRPr="00D60728" w:rsidRDefault="00621458" w:rsidP="00BF7DCC">
      <w:pPr>
        <w:pStyle w:val="Caption"/>
        <w:keepNext/>
        <w:spacing w:after="0" w:line="240" w:lineRule="auto"/>
        <w:rPr>
          <w:sz w:val="20"/>
          <w:szCs w:val="20"/>
        </w:rPr>
      </w:pPr>
    </w:p>
    <w:p w:rsidR="00BC6E4B" w:rsidRPr="00D60728" w:rsidRDefault="00BC6E4B" w:rsidP="00BF7DCC">
      <w:pPr>
        <w:spacing w:line="240" w:lineRule="auto"/>
        <w:rPr>
          <w:sz w:val="20"/>
          <w:szCs w:val="20"/>
        </w:rPr>
      </w:pPr>
      <w:r w:rsidRPr="00D60728">
        <w:rPr>
          <w:sz w:val="20"/>
          <w:szCs w:val="20"/>
        </w:rPr>
        <w:br w:type="page"/>
      </w:r>
    </w:p>
    <w:tbl>
      <w:tblPr>
        <w:tblStyle w:val="TableGrid"/>
        <w:tblW w:w="9175" w:type="dxa"/>
        <w:tblLayout w:type="fixed"/>
        <w:tblLook w:val="04A0" w:firstRow="1" w:lastRow="0" w:firstColumn="1" w:lastColumn="0" w:noHBand="0" w:noVBand="1"/>
      </w:tblPr>
      <w:tblGrid>
        <w:gridCol w:w="1129"/>
        <w:gridCol w:w="1418"/>
        <w:gridCol w:w="6628"/>
      </w:tblGrid>
      <w:tr w:rsidR="00621458" w:rsidRPr="006D54B7" w:rsidTr="00BC6E4B">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lastRenderedPageBreak/>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Utvrđivanje polazišta, nacionalnih ciljeva, indikatora za praćenje ostvarenja te uspostava sustava za praćenje ostvarenja zadanih ciljeva istraživanja, inovacija i konkurentnosti</w:t>
            </w:r>
          </w:p>
        </w:tc>
      </w:tr>
      <w:tr w:rsidR="00621458" w:rsidRPr="00D60728" w:rsidTr="00BC6E4B">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MCC-17</w:t>
            </w:r>
          </w:p>
        </w:tc>
      </w:tr>
      <w:tr w:rsidR="00621458" w:rsidRPr="00D60728" w:rsidTr="00BC6E4B">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621458" w:rsidRPr="00D60728" w:rsidTr="00BC6E4B">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621458" w:rsidRPr="00D60728" w:rsidTr="00BC6E4B">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BF1093" w:rsidRPr="00D60728">
              <w:rPr>
                <w:rFonts w:ascii="Times New Roman" w:hAnsi="Times New Roman"/>
                <w:i/>
                <w:iCs/>
                <w:sz w:val="20"/>
                <w:szCs w:val="20"/>
              </w:rPr>
              <w:t>24</w:t>
            </w:r>
            <w:r w:rsidRPr="00D60728">
              <w:rPr>
                <w:rFonts w:ascii="Times New Roman" w:hAnsi="Times New Roman"/>
                <w:i/>
                <w:iCs/>
                <w:sz w:val="20"/>
                <w:szCs w:val="20"/>
              </w:rPr>
              <w:t>.</w:t>
            </w:r>
          </w:p>
        </w:tc>
      </w:tr>
      <w:tr w:rsidR="00BF1093" w:rsidRPr="00D60728" w:rsidTr="00BF1093">
        <w:trPr>
          <w:trHeight w:val="1191"/>
        </w:trPr>
        <w:tc>
          <w:tcPr>
            <w:tcW w:w="1129" w:type="dxa"/>
            <w:vMerge/>
            <w:vAlign w:val="center"/>
            <w:hideMark/>
          </w:tcPr>
          <w:p w:rsidR="00BF1093" w:rsidRPr="00D60728" w:rsidRDefault="00BF1093" w:rsidP="00BF7DCC">
            <w:pPr>
              <w:spacing w:line="240" w:lineRule="auto"/>
              <w:jc w:val="left"/>
              <w:rPr>
                <w:rFonts w:ascii="Times New Roman" w:hAnsi="Times New Roman"/>
                <w:sz w:val="20"/>
                <w:szCs w:val="20"/>
              </w:rPr>
            </w:pPr>
          </w:p>
        </w:tc>
        <w:tc>
          <w:tcPr>
            <w:tcW w:w="1418" w:type="dxa"/>
            <w:vAlign w:val="center"/>
            <w:hideMark/>
          </w:tcPr>
          <w:p w:rsidR="00BF1093" w:rsidRPr="00D60728" w:rsidRDefault="00BF1093"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BF1093" w:rsidRPr="00D60728" w:rsidRDefault="00BF109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Razrada ciljeva i sustava praćenja te uspostava sustava praćenja ostvarenja na području istraživanja i razvoja, inovacija i konkurentnosti povezanih s energetskom unijom; definiranje ključnih tehnologija za niskougljičnu tranziciju, detaljna razrada trogodišnjeg akcijskog plana</w:t>
            </w:r>
          </w:p>
        </w:tc>
      </w:tr>
      <w:tr w:rsidR="00621458" w:rsidRPr="00D60728" w:rsidTr="00BC6E4B">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ListParagraph"/>
              <w:spacing w:line="240" w:lineRule="auto"/>
              <w:ind w:left="0"/>
              <w:contextualSpacing w:val="0"/>
              <w:rPr>
                <w:rFonts w:ascii="Times New Roman" w:hAnsi="Times New Roman"/>
                <w:i/>
                <w:sz w:val="20"/>
                <w:szCs w:val="20"/>
              </w:rPr>
            </w:pPr>
            <w:r w:rsidRPr="00D60728">
              <w:rPr>
                <w:rFonts w:ascii="Times New Roman" w:hAnsi="Times New Roman"/>
                <w:i/>
                <w:sz w:val="20"/>
                <w:szCs w:val="20"/>
              </w:rPr>
              <w:t>MZOE će u suradnji s MGPO i MZO dodatno razraditi kriterije i indikatore relevantne za područja energetske unije. Predložit će relevantne izvore podataka i sustav praćenja ostvarenja indikatora. Predložit će ključne tehnologije niskougljične tranzicije, pratit će ostvarivanje zadanih ciljeva te po potrebi predlagati korektivne i druge mjere. Prema potrebi, osnovat će se tematske podgrupe za područja istraživanja, inovacija i konkurentnosti.</w:t>
            </w:r>
          </w:p>
        </w:tc>
      </w:tr>
      <w:tr w:rsidR="00BF1093" w:rsidRPr="00D60728" w:rsidTr="00BF1093">
        <w:trPr>
          <w:trHeight w:val="1417"/>
        </w:trPr>
        <w:tc>
          <w:tcPr>
            <w:tcW w:w="1129" w:type="dxa"/>
            <w:vMerge/>
            <w:vAlign w:val="center"/>
            <w:hideMark/>
          </w:tcPr>
          <w:p w:rsidR="00BF1093" w:rsidRPr="00D60728" w:rsidRDefault="00BF1093" w:rsidP="00BF7DCC">
            <w:pPr>
              <w:spacing w:line="240" w:lineRule="auto"/>
              <w:jc w:val="left"/>
              <w:rPr>
                <w:rFonts w:ascii="Times New Roman" w:hAnsi="Times New Roman"/>
                <w:sz w:val="20"/>
                <w:szCs w:val="20"/>
              </w:rPr>
            </w:pPr>
          </w:p>
        </w:tc>
        <w:tc>
          <w:tcPr>
            <w:tcW w:w="1418" w:type="dxa"/>
            <w:vAlign w:val="center"/>
            <w:hideMark/>
          </w:tcPr>
          <w:p w:rsidR="00BF1093" w:rsidRPr="00D60728" w:rsidRDefault="00BF1093"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BF1093" w:rsidRPr="00D60728" w:rsidRDefault="00BF1093"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p w:rsidR="00BF1093" w:rsidRPr="00D60728" w:rsidRDefault="00BF1093" w:rsidP="00BF7DCC">
            <w:pPr>
              <w:spacing w:line="240" w:lineRule="auto"/>
              <w:rPr>
                <w:rFonts w:ascii="Times New Roman" w:hAnsi="Times New Roman"/>
                <w:i/>
                <w:iCs/>
                <w:sz w:val="20"/>
                <w:szCs w:val="20"/>
              </w:rPr>
            </w:pPr>
            <w:r w:rsidRPr="00D60728">
              <w:rPr>
                <w:rFonts w:ascii="Times New Roman" w:hAnsi="Times New Roman"/>
                <w:i/>
                <w:iCs/>
                <w:sz w:val="20"/>
                <w:szCs w:val="20"/>
              </w:rPr>
              <w:t>MGPO</w:t>
            </w:r>
          </w:p>
          <w:p w:rsidR="00BF1093" w:rsidRPr="00D60728" w:rsidRDefault="00BF1093" w:rsidP="00BF7DCC">
            <w:pPr>
              <w:spacing w:line="240" w:lineRule="auto"/>
              <w:rPr>
                <w:rFonts w:ascii="Times New Roman" w:hAnsi="Times New Roman"/>
                <w:i/>
                <w:iCs/>
                <w:sz w:val="20"/>
                <w:szCs w:val="20"/>
              </w:rPr>
            </w:pPr>
            <w:r w:rsidRPr="00D60728">
              <w:rPr>
                <w:rFonts w:ascii="Times New Roman" w:hAnsi="Times New Roman"/>
                <w:i/>
                <w:iCs/>
                <w:sz w:val="20"/>
                <w:szCs w:val="20"/>
              </w:rPr>
              <w:t>MZO</w:t>
            </w:r>
          </w:p>
          <w:p w:rsidR="00BF1093" w:rsidRPr="00D60728" w:rsidRDefault="00BF1093" w:rsidP="00BF7DCC">
            <w:pPr>
              <w:spacing w:line="240" w:lineRule="auto"/>
              <w:rPr>
                <w:rFonts w:ascii="Times New Roman" w:hAnsi="Times New Roman"/>
                <w:i/>
                <w:iCs/>
                <w:sz w:val="20"/>
                <w:szCs w:val="20"/>
              </w:rPr>
            </w:pPr>
            <w:r w:rsidRPr="00D60728">
              <w:rPr>
                <w:rFonts w:ascii="Times New Roman" w:hAnsi="Times New Roman"/>
                <w:i/>
                <w:iCs/>
                <w:sz w:val="20"/>
                <w:szCs w:val="20"/>
              </w:rPr>
              <w:t>DZS</w:t>
            </w:r>
          </w:p>
          <w:p w:rsidR="00BF1093" w:rsidRPr="00D60728" w:rsidRDefault="00BF1093" w:rsidP="00BF7DCC">
            <w:pPr>
              <w:spacing w:line="240" w:lineRule="auto"/>
              <w:rPr>
                <w:rFonts w:ascii="Times New Roman" w:hAnsi="Times New Roman"/>
                <w:i/>
                <w:iCs/>
                <w:sz w:val="20"/>
                <w:szCs w:val="20"/>
              </w:rPr>
            </w:pPr>
            <w:r w:rsidRPr="00D60728">
              <w:rPr>
                <w:rFonts w:ascii="Times New Roman" w:hAnsi="Times New Roman"/>
                <w:i/>
                <w:iCs/>
                <w:sz w:val="20"/>
                <w:szCs w:val="20"/>
              </w:rPr>
              <w:t>DZIV</w:t>
            </w:r>
          </w:p>
        </w:tc>
      </w:tr>
      <w:tr w:rsidR="00621458" w:rsidRPr="00D60728" w:rsidTr="00BC6E4B">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redovan rad državnih tijela </w:t>
            </w:r>
          </w:p>
        </w:tc>
      </w:tr>
      <w:tr w:rsidR="008B6018" w:rsidRPr="00D60728" w:rsidTr="00BC6E4B">
        <w:trPr>
          <w:trHeight w:val="964"/>
        </w:trPr>
        <w:tc>
          <w:tcPr>
            <w:tcW w:w="1129" w:type="dxa"/>
            <w:vMerge w:val="restart"/>
            <w:vAlign w:val="center"/>
            <w:hideMark/>
          </w:tcPr>
          <w:p w:rsidR="008B6018" w:rsidRPr="00D60728" w:rsidRDefault="008B6018"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8B6018" w:rsidRPr="00D60728" w:rsidRDefault="008B6018"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8B6018" w:rsidRPr="00D60728" w:rsidRDefault="008B6018"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Definirani nacionalni razvojni ciljevi u kontekstu niskougljične tranzicije,</w:t>
            </w:r>
          </w:p>
          <w:p w:rsidR="008B6018" w:rsidRPr="00D60728" w:rsidRDefault="008B6018" w:rsidP="00BF7DCC">
            <w:pPr>
              <w:pStyle w:val="ListParagraph"/>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Uspostavljen sustav za praćenje ostvarenja,</w:t>
            </w:r>
          </w:p>
          <w:p w:rsidR="008B6018" w:rsidRPr="00D60728" w:rsidRDefault="008B6018"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Definirane ključne tehnologije.</w:t>
            </w:r>
          </w:p>
        </w:tc>
      </w:tr>
      <w:tr w:rsidR="008B6018" w:rsidRPr="00D60728" w:rsidTr="00BC6E4B">
        <w:trPr>
          <w:trHeight w:val="1120"/>
        </w:trPr>
        <w:tc>
          <w:tcPr>
            <w:tcW w:w="1129" w:type="dxa"/>
            <w:vMerge/>
            <w:vAlign w:val="center"/>
            <w:hideMark/>
          </w:tcPr>
          <w:p w:rsidR="008B6018" w:rsidRPr="00D60728" w:rsidRDefault="008B6018" w:rsidP="00BF7DCC">
            <w:pPr>
              <w:spacing w:line="240" w:lineRule="auto"/>
              <w:jc w:val="left"/>
              <w:rPr>
                <w:rFonts w:ascii="Times New Roman" w:hAnsi="Times New Roman"/>
                <w:sz w:val="20"/>
                <w:szCs w:val="20"/>
              </w:rPr>
            </w:pPr>
          </w:p>
        </w:tc>
        <w:tc>
          <w:tcPr>
            <w:tcW w:w="1418" w:type="dxa"/>
            <w:vAlign w:val="center"/>
          </w:tcPr>
          <w:p w:rsidR="008B6018" w:rsidRPr="00D60728" w:rsidRDefault="008B6018"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8B6018" w:rsidRPr="00D60728" w:rsidRDefault="008B6018"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izvještaji MZOE</w:t>
            </w:r>
          </w:p>
        </w:tc>
      </w:tr>
    </w:tbl>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621458" w:rsidRPr="00D60728" w:rsidRDefault="00621458" w:rsidP="00BF7DCC">
      <w:pPr>
        <w:pStyle w:val="Caption"/>
        <w:keepNext/>
        <w:spacing w:after="0" w:line="240" w:lineRule="auto"/>
        <w:rPr>
          <w:sz w:val="20"/>
          <w:szCs w:val="20"/>
        </w:rPr>
      </w:pPr>
    </w:p>
    <w:p w:rsidR="00B2348B" w:rsidRPr="00D60728" w:rsidRDefault="00B2348B" w:rsidP="00BF7DCC">
      <w:pPr>
        <w:spacing w:line="240" w:lineRule="auto"/>
        <w:rPr>
          <w:sz w:val="20"/>
          <w:szCs w:val="20"/>
        </w:rPr>
      </w:pPr>
      <w:r w:rsidRPr="00D60728">
        <w:rPr>
          <w:sz w:val="20"/>
          <w:szCs w:val="20"/>
        </w:rPr>
        <w:br w:type="page"/>
      </w:r>
    </w:p>
    <w:tbl>
      <w:tblPr>
        <w:tblStyle w:val="TableGrid"/>
        <w:tblW w:w="9175" w:type="dxa"/>
        <w:tblLayout w:type="fixed"/>
        <w:tblLook w:val="04A0" w:firstRow="1" w:lastRow="0" w:firstColumn="1" w:lastColumn="0" w:noHBand="0" w:noVBand="1"/>
      </w:tblPr>
      <w:tblGrid>
        <w:gridCol w:w="1129"/>
        <w:gridCol w:w="1418"/>
        <w:gridCol w:w="6628"/>
      </w:tblGrid>
      <w:tr w:rsidR="00621458" w:rsidRPr="006D54B7" w:rsidTr="008B6018">
        <w:trPr>
          <w:trHeight w:val="454"/>
        </w:trPr>
        <w:tc>
          <w:tcPr>
            <w:tcW w:w="2547" w:type="dxa"/>
            <w:gridSpan w:val="2"/>
            <w:shd w:val="clear" w:color="auto" w:fill="D9D9D9" w:themeFill="background1" w:themeFillShade="D9"/>
            <w:vAlign w:val="center"/>
            <w:hideMark/>
          </w:tcPr>
          <w:p w:rsidR="00621458" w:rsidRPr="006D54B7" w:rsidRDefault="00621458" w:rsidP="006D54B7">
            <w:pPr>
              <w:spacing w:line="240" w:lineRule="auto"/>
              <w:ind w:right="57"/>
              <w:jc w:val="left"/>
              <w:rPr>
                <w:rFonts w:ascii="Times New Roman" w:hAnsi="Times New Roman"/>
                <w:b/>
                <w:iCs/>
              </w:rPr>
            </w:pPr>
            <w:r w:rsidRPr="006D54B7">
              <w:rPr>
                <w:rFonts w:ascii="Times New Roman" w:hAnsi="Times New Roman"/>
                <w:b/>
                <w:iCs/>
              </w:rPr>
              <w:lastRenderedPageBreak/>
              <w:t>Naziv mjere</w:t>
            </w:r>
          </w:p>
        </w:tc>
        <w:tc>
          <w:tcPr>
            <w:tcW w:w="6628" w:type="dxa"/>
            <w:shd w:val="clear" w:color="auto" w:fill="D9D9D9" w:themeFill="background1" w:themeFillShade="D9"/>
            <w:vAlign w:val="center"/>
          </w:tcPr>
          <w:p w:rsidR="00621458" w:rsidRPr="006D54B7" w:rsidRDefault="00621458" w:rsidP="006D54B7">
            <w:pPr>
              <w:spacing w:line="240" w:lineRule="auto"/>
              <w:ind w:right="57"/>
              <w:jc w:val="left"/>
              <w:rPr>
                <w:rFonts w:ascii="Times New Roman" w:hAnsi="Times New Roman"/>
                <w:b/>
                <w:i/>
                <w:iCs/>
              </w:rPr>
            </w:pPr>
            <w:r w:rsidRPr="006D54B7">
              <w:rPr>
                <w:rFonts w:ascii="Times New Roman" w:hAnsi="Times New Roman"/>
                <w:b/>
                <w:i/>
                <w:iCs/>
              </w:rPr>
              <w:t>Sufinanciranje projekata industrijskog istraživanja i eksperimentalnog razvoja usklađenih s Nacionalnom razvojnom strategijom</w:t>
            </w:r>
          </w:p>
        </w:tc>
      </w:tr>
      <w:tr w:rsidR="00621458" w:rsidRPr="00D60728" w:rsidTr="008B6018">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MCC-18</w:t>
            </w:r>
          </w:p>
        </w:tc>
      </w:tr>
      <w:tr w:rsidR="00621458" w:rsidRPr="00D60728" w:rsidTr="008B6018">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621458" w:rsidRPr="00D60728" w:rsidTr="008B6018">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621458" w:rsidRPr="00D60728" w:rsidTr="008B6018">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8B6018" w:rsidRPr="00D60728">
              <w:rPr>
                <w:rFonts w:ascii="Times New Roman" w:hAnsi="Times New Roman"/>
                <w:i/>
                <w:iCs/>
                <w:sz w:val="20"/>
                <w:szCs w:val="20"/>
              </w:rPr>
              <w:t>24</w:t>
            </w:r>
            <w:r w:rsidRPr="00D60728">
              <w:rPr>
                <w:rFonts w:ascii="Times New Roman" w:hAnsi="Times New Roman"/>
                <w:i/>
                <w:iCs/>
                <w:sz w:val="20"/>
                <w:szCs w:val="20"/>
              </w:rPr>
              <w:t>.</w:t>
            </w:r>
          </w:p>
        </w:tc>
      </w:tr>
      <w:tr w:rsidR="00B2348B" w:rsidRPr="00D60728" w:rsidTr="008B6018">
        <w:trPr>
          <w:trHeight w:val="964"/>
        </w:trPr>
        <w:tc>
          <w:tcPr>
            <w:tcW w:w="1129" w:type="dxa"/>
            <w:vMerge/>
            <w:vAlign w:val="center"/>
            <w:hideMark/>
          </w:tcPr>
          <w:p w:rsidR="00B2348B" w:rsidRPr="00D60728" w:rsidRDefault="00B2348B" w:rsidP="00BF7DCC">
            <w:pPr>
              <w:spacing w:line="240" w:lineRule="auto"/>
              <w:jc w:val="left"/>
              <w:rPr>
                <w:rFonts w:ascii="Times New Roman" w:hAnsi="Times New Roman"/>
                <w:sz w:val="20"/>
                <w:szCs w:val="20"/>
              </w:rPr>
            </w:pPr>
          </w:p>
        </w:tc>
        <w:tc>
          <w:tcPr>
            <w:tcW w:w="1418" w:type="dxa"/>
            <w:vAlign w:val="center"/>
            <w:hideMark/>
          </w:tcPr>
          <w:p w:rsidR="00B2348B" w:rsidRPr="00D60728" w:rsidRDefault="00B2348B"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B2348B" w:rsidRPr="00D60728" w:rsidRDefault="00B2348B"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Mjerom se potiče istraživanje i razvoj proizvoda i usluga relevantnih za niskougljični razvoj, sufinanciranjem istraživačkih projekata u okviru prioritetnih tema.</w:t>
            </w:r>
          </w:p>
        </w:tc>
      </w:tr>
      <w:tr w:rsidR="00621458" w:rsidRPr="00D60728" w:rsidTr="008B6018">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ListParagraph"/>
              <w:spacing w:line="240" w:lineRule="auto"/>
              <w:ind w:left="0"/>
              <w:contextualSpacing w:val="0"/>
              <w:rPr>
                <w:rFonts w:ascii="Times New Roman" w:hAnsi="Times New Roman"/>
                <w:i/>
                <w:sz w:val="20"/>
                <w:szCs w:val="20"/>
              </w:rPr>
            </w:pPr>
            <w:r w:rsidRPr="00D60728">
              <w:rPr>
                <w:rFonts w:ascii="Times New Roman" w:hAnsi="Times New Roman"/>
                <w:i/>
                <w:sz w:val="20"/>
                <w:szCs w:val="20"/>
              </w:rPr>
              <w:t>Na godišnjoj razini raspisivat će se natječaji za znanstveno-istraživačke projekte koji će se provoditi unutar RH te će se sufinancirati sudjelovanje hrvatskih znanstvenih organizacija i malih i srednjih poduzeća u međunarodnim znanstveno-istraživačkim projektima koji se bave prioritetnim temama za RH. Također, sufinancirat će se projektno sudjelovanje hrvatskih znanstvenih institucija i malih i srednjih poduzeća u relevantnim programima (SET Plan, ETIP, EERA, Obzor 2020 LIFE, Eureka, idr.), Europskim partnerstvima u okviru Okvirnog programa EU za istraživanje i inovacije i u relevantnim pan-europskim mrežama i konzorcijima, sukladno pravilima određenog programa. Poticat će se suradnja znanstveno-istraživačkog i komercijalnog sektora te privatna ulaganja u istraživanje i razvoj. Pratit će se broj prijavljenih i odobrenih patenata. Za projekte čiji će ciljevi biti usklađeni s nacionalnim prioritetima osigurat će se financiranje djela troškova koji nisu financirani sredstvima donatora.</w:t>
            </w:r>
          </w:p>
        </w:tc>
      </w:tr>
      <w:tr w:rsidR="00B2348B" w:rsidRPr="00D60728" w:rsidTr="008B6018">
        <w:trPr>
          <w:trHeight w:val="918"/>
        </w:trPr>
        <w:tc>
          <w:tcPr>
            <w:tcW w:w="1129" w:type="dxa"/>
            <w:vMerge/>
            <w:vAlign w:val="center"/>
            <w:hideMark/>
          </w:tcPr>
          <w:p w:rsidR="00B2348B" w:rsidRPr="00D60728" w:rsidRDefault="00B2348B" w:rsidP="00BF7DCC">
            <w:pPr>
              <w:spacing w:line="240" w:lineRule="auto"/>
              <w:jc w:val="left"/>
              <w:rPr>
                <w:rFonts w:ascii="Times New Roman" w:hAnsi="Times New Roman"/>
                <w:sz w:val="20"/>
                <w:szCs w:val="20"/>
              </w:rPr>
            </w:pPr>
          </w:p>
        </w:tc>
        <w:tc>
          <w:tcPr>
            <w:tcW w:w="1418" w:type="dxa"/>
            <w:vAlign w:val="center"/>
            <w:hideMark/>
          </w:tcPr>
          <w:p w:rsidR="00B2348B" w:rsidRPr="00D60728" w:rsidRDefault="00B2348B"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B2348B" w:rsidRPr="00D60728" w:rsidRDefault="00B2348B" w:rsidP="00BF7DCC">
            <w:pPr>
              <w:spacing w:line="240" w:lineRule="auto"/>
              <w:rPr>
                <w:rFonts w:ascii="Times New Roman" w:hAnsi="Times New Roman"/>
                <w:i/>
                <w:iCs/>
                <w:sz w:val="20"/>
                <w:szCs w:val="20"/>
              </w:rPr>
            </w:pPr>
            <w:r w:rsidRPr="00D60728">
              <w:rPr>
                <w:rFonts w:ascii="Times New Roman" w:hAnsi="Times New Roman"/>
                <w:i/>
                <w:iCs/>
                <w:sz w:val="20"/>
                <w:szCs w:val="20"/>
              </w:rPr>
              <w:t>HRZZ</w:t>
            </w:r>
          </w:p>
          <w:p w:rsidR="00B2348B" w:rsidRPr="00D60728" w:rsidRDefault="00B2348B" w:rsidP="00BF7DCC">
            <w:pPr>
              <w:spacing w:line="240" w:lineRule="auto"/>
              <w:rPr>
                <w:rFonts w:ascii="Times New Roman" w:hAnsi="Times New Roman"/>
                <w:i/>
                <w:iCs/>
                <w:sz w:val="20"/>
                <w:szCs w:val="20"/>
              </w:rPr>
            </w:pPr>
            <w:r w:rsidRPr="00D60728">
              <w:rPr>
                <w:rFonts w:ascii="Times New Roman" w:hAnsi="Times New Roman"/>
                <w:i/>
                <w:iCs/>
                <w:sz w:val="20"/>
                <w:szCs w:val="20"/>
              </w:rPr>
              <w:t>MZO</w:t>
            </w:r>
          </w:p>
          <w:p w:rsidR="00B2348B" w:rsidRPr="00D60728" w:rsidRDefault="00B2348B" w:rsidP="00BF7DCC">
            <w:pPr>
              <w:spacing w:line="240" w:lineRule="auto"/>
              <w:rPr>
                <w:rFonts w:ascii="Times New Roman" w:hAnsi="Times New Roman"/>
                <w:i/>
                <w:iCs/>
                <w:sz w:val="20"/>
                <w:szCs w:val="20"/>
              </w:rPr>
            </w:pPr>
            <w:r w:rsidRPr="00D60728">
              <w:rPr>
                <w:rFonts w:ascii="Times New Roman" w:hAnsi="Times New Roman"/>
                <w:i/>
                <w:iCs/>
                <w:sz w:val="20"/>
                <w:szCs w:val="20"/>
              </w:rPr>
              <w:t>MGPO</w:t>
            </w:r>
          </w:p>
          <w:p w:rsidR="00B2348B" w:rsidRPr="00D60728" w:rsidRDefault="00B2348B" w:rsidP="00BF7DCC">
            <w:pPr>
              <w:spacing w:line="240" w:lineRule="auto"/>
              <w:rPr>
                <w:rFonts w:ascii="Times New Roman" w:hAnsi="Times New Roman"/>
                <w:i/>
                <w:iCs/>
                <w:sz w:val="20"/>
                <w:szCs w:val="20"/>
              </w:rPr>
            </w:pPr>
            <w:r w:rsidRPr="00D60728">
              <w:rPr>
                <w:rFonts w:ascii="Times New Roman" w:hAnsi="Times New Roman"/>
                <w:i/>
                <w:iCs/>
                <w:sz w:val="20"/>
                <w:szCs w:val="20"/>
              </w:rPr>
              <w:t>HAMAG-BICRO</w:t>
            </w:r>
          </w:p>
        </w:tc>
      </w:tr>
      <w:tr w:rsidR="00621458" w:rsidRPr="00D60728" w:rsidTr="008B6018">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45 milijuna kuna godišnje</w:t>
            </w:r>
          </w:p>
        </w:tc>
      </w:tr>
      <w:tr w:rsidR="00B2348B" w:rsidRPr="00D60728" w:rsidTr="008B6018">
        <w:trPr>
          <w:trHeight w:val="839"/>
        </w:trPr>
        <w:tc>
          <w:tcPr>
            <w:tcW w:w="1129" w:type="dxa"/>
            <w:vMerge w:val="restart"/>
            <w:vAlign w:val="center"/>
            <w:hideMark/>
          </w:tcPr>
          <w:p w:rsidR="00B2348B" w:rsidRPr="00D60728" w:rsidRDefault="00B2348B"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B2348B" w:rsidRPr="00D60728" w:rsidRDefault="00B2348B"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B2348B" w:rsidRPr="00D60728" w:rsidRDefault="00B2348B"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Provedeni znanstveno-istraživački projekti prioritetni za RH</w:t>
            </w:r>
          </w:p>
        </w:tc>
      </w:tr>
      <w:tr w:rsidR="00B2348B" w:rsidRPr="00D60728" w:rsidTr="008B6018">
        <w:trPr>
          <w:trHeight w:val="1120"/>
        </w:trPr>
        <w:tc>
          <w:tcPr>
            <w:tcW w:w="1129" w:type="dxa"/>
            <w:vMerge/>
            <w:vAlign w:val="center"/>
            <w:hideMark/>
          </w:tcPr>
          <w:p w:rsidR="00B2348B" w:rsidRPr="00D60728" w:rsidRDefault="00B2348B" w:rsidP="00BF7DCC">
            <w:pPr>
              <w:spacing w:line="240" w:lineRule="auto"/>
              <w:jc w:val="left"/>
              <w:rPr>
                <w:rFonts w:ascii="Times New Roman" w:hAnsi="Times New Roman"/>
                <w:sz w:val="20"/>
                <w:szCs w:val="20"/>
              </w:rPr>
            </w:pPr>
          </w:p>
        </w:tc>
        <w:tc>
          <w:tcPr>
            <w:tcW w:w="1418" w:type="dxa"/>
            <w:vAlign w:val="center"/>
          </w:tcPr>
          <w:p w:rsidR="00B2348B" w:rsidRPr="00D60728" w:rsidRDefault="00B2348B"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B2348B" w:rsidRPr="00D60728" w:rsidRDefault="00B2348B"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izvješća MZOE</w:t>
            </w:r>
          </w:p>
        </w:tc>
      </w:tr>
    </w:tbl>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621458" w:rsidRPr="00D60728" w:rsidRDefault="00621458" w:rsidP="00BF7DCC">
      <w:pPr>
        <w:pStyle w:val="Caption"/>
        <w:keepNext/>
        <w:spacing w:after="0" w:line="240" w:lineRule="auto"/>
        <w:rPr>
          <w:sz w:val="20"/>
          <w:szCs w:val="20"/>
        </w:rPr>
      </w:pPr>
    </w:p>
    <w:p w:rsidR="00FD6EF9" w:rsidRPr="00D60728" w:rsidRDefault="00FD6EF9" w:rsidP="00BF7DCC">
      <w:pPr>
        <w:spacing w:line="240" w:lineRule="auto"/>
        <w:rPr>
          <w:sz w:val="20"/>
          <w:szCs w:val="20"/>
        </w:rPr>
      </w:pPr>
      <w:r w:rsidRPr="00D60728">
        <w:rPr>
          <w:sz w:val="20"/>
          <w:szCs w:val="20"/>
        </w:rPr>
        <w:br w:type="page"/>
      </w:r>
    </w:p>
    <w:tbl>
      <w:tblPr>
        <w:tblStyle w:val="TableGrid"/>
        <w:tblW w:w="9175" w:type="dxa"/>
        <w:tblInd w:w="113" w:type="dxa"/>
        <w:tblLayout w:type="fixed"/>
        <w:tblLook w:val="04A0" w:firstRow="1" w:lastRow="0" w:firstColumn="1" w:lastColumn="0" w:noHBand="0" w:noVBand="1"/>
      </w:tblPr>
      <w:tblGrid>
        <w:gridCol w:w="1129"/>
        <w:gridCol w:w="1418"/>
        <w:gridCol w:w="6628"/>
      </w:tblGrid>
      <w:tr w:rsidR="00621458" w:rsidRPr="00723C4A" w:rsidTr="00621458">
        <w:trPr>
          <w:trHeight w:val="454"/>
        </w:trPr>
        <w:tc>
          <w:tcPr>
            <w:tcW w:w="2547" w:type="dxa"/>
            <w:gridSpan w:val="2"/>
            <w:shd w:val="clear" w:color="auto" w:fill="D9D9D9" w:themeFill="background1" w:themeFillShade="D9"/>
            <w:vAlign w:val="center"/>
            <w:hideMark/>
          </w:tcPr>
          <w:p w:rsidR="00621458" w:rsidRPr="00723C4A" w:rsidRDefault="00621458" w:rsidP="00BF7DCC">
            <w:pPr>
              <w:spacing w:line="240" w:lineRule="auto"/>
              <w:ind w:right="57"/>
              <w:jc w:val="left"/>
              <w:rPr>
                <w:rFonts w:ascii="Times New Roman" w:hAnsi="Times New Roman"/>
                <w:b/>
                <w:iCs/>
              </w:rPr>
            </w:pPr>
            <w:r w:rsidRPr="00723C4A">
              <w:rPr>
                <w:rFonts w:ascii="Times New Roman" w:hAnsi="Times New Roman"/>
                <w:b/>
                <w:iCs/>
              </w:rPr>
              <w:lastRenderedPageBreak/>
              <w:t>Naziv mjere</w:t>
            </w:r>
          </w:p>
        </w:tc>
        <w:tc>
          <w:tcPr>
            <w:tcW w:w="6628" w:type="dxa"/>
            <w:shd w:val="clear" w:color="auto" w:fill="D9D9D9" w:themeFill="background1" w:themeFillShade="D9"/>
            <w:vAlign w:val="center"/>
          </w:tcPr>
          <w:p w:rsidR="00621458" w:rsidRPr="00723C4A" w:rsidRDefault="00621458" w:rsidP="00BF7DCC">
            <w:pPr>
              <w:spacing w:line="240" w:lineRule="auto"/>
              <w:ind w:right="57"/>
              <w:rPr>
                <w:rFonts w:ascii="Times New Roman" w:hAnsi="Times New Roman"/>
                <w:b/>
                <w:i/>
                <w:iCs/>
              </w:rPr>
            </w:pPr>
            <w:r w:rsidRPr="00723C4A">
              <w:rPr>
                <w:rFonts w:ascii="Times New Roman" w:hAnsi="Times New Roman"/>
                <w:b/>
                <w:i/>
                <w:iCs/>
              </w:rPr>
              <w:t>Poticanje razvoja poduzetništva na području niskougljičnog gospodarstva</w:t>
            </w:r>
          </w:p>
        </w:tc>
      </w:tr>
      <w:tr w:rsidR="00621458" w:rsidRPr="00D60728" w:rsidTr="00621458">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MCC-19</w:t>
            </w:r>
          </w:p>
        </w:tc>
      </w:tr>
      <w:tr w:rsidR="00621458" w:rsidRPr="00D60728" w:rsidTr="00621458">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621458" w:rsidRPr="00D60728" w:rsidTr="00621458">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621458" w:rsidRPr="00D60728" w:rsidTr="00621458">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FD6EF9" w:rsidRPr="00D60728">
              <w:rPr>
                <w:rFonts w:ascii="Times New Roman" w:hAnsi="Times New Roman"/>
                <w:i/>
                <w:iCs/>
                <w:sz w:val="20"/>
                <w:szCs w:val="20"/>
              </w:rPr>
              <w:t>24</w:t>
            </w:r>
            <w:r w:rsidRPr="00D60728">
              <w:rPr>
                <w:rFonts w:ascii="Times New Roman" w:hAnsi="Times New Roman"/>
                <w:i/>
                <w:iCs/>
                <w:sz w:val="20"/>
                <w:szCs w:val="20"/>
              </w:rPr>
              <w:t>.</w:t>
            </w:r>
          </w:p>
        </w:tc>
      </w:tr>
      <w:tr w:rsidR="00FD6EF9" w:rsidRPr="00D60728" w:rsidTr="00FD6EF9">
        <w:trPr>
          <w:trHeight w:val="737"/>
        </w:trPr>
        <w:tc>
          <w:tcPr>
            <w:tcW w:w="1129" w:type="dxa"/>
            <w:vMerge/>
            <w:vAlign w:val="center"/>
            <w:hideMark/>
          </w:tcPr>
          <w:p w:rsidR="00FD6EF9" w:rsidRPr="00D60728" w:rsidRDefault="00FD6EF9" w:rsidP="00BF7DCC">
            <w:pPr>
              <w:spacing w:line="240" w:lineRule="auto"/>
              <w:jc w:val="left"/>
              <w:rPr>
                <w:rFonts w:ascii="Times New Roman" w:hAnsi="Times New Roman"/>
                <w:sz w:val="20"/>
                <w:szCs w:val="20"/>
              </w:rPr>
            </w:pPr>
          </w:p>
        </w:tc>
        <w:tc>
          <w:tcPr>
            <w:tcW w:w="1418" w:type="dxa"/>
            <w:vAlign w:val="center"/>
            <w:hideMark/>
          </w:tcPr>
          <w:p w:rsidR="00FD6EF9" w:rsidRPr="00D60728" w:rsidRDefault="00FD6EF9"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FD6EF9" w:rsidRPr="00D60728" w:rsidRDefault="00FD6EF9"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Mjerom se potiče razvoj poduzetništva na području niskougljičnih proizvoda i usluga, sufinanciranjem poduzetničkih aktivnosti u ovom području.</w:t>
            </w:r>
          </w:p>
        </w:tc>
      </w:tr>
      <w:tr w:rsidR="00621458" w:rsidRPr="00D60728" w:rsidTr="00621458">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ListParagraph"/>
              <w:numPr>
                <w:ilvl w:val="0"/>
                <w:numId w:val="56"/>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Nastavit će se s pružanjem potpore poduzetnicima kroz sve razvojne faze njihovog poslovanja – od istraživanja i razvoja ideje pa sve do komercijalizacije i plasmana na tržište, i to na području niskougljičnih proizvoda i usluga,</w:t>
            </w:r>
          </w:p>
          <w:p w:rsidR="00621458" w:rsidRPr="00D60728" w:rsidRDefault="00621458" w:rsidP="00BF7DCC">
            <w:pPr>
              <w:pStyle w:val="ListParagraph"/>
              <w:numPr>
                <w:ilvl w:val="0"/>
                <w:numId w:val="56"/>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Poticat će se suradnja sa znanstveno-istraživačkim institucijama te povećanje privatnih ulaganja u istraživanje i razvoj. Jedna od mogućih aktivnosti je financiranje potvrde koncepta (Proof of Concept) kao mehanizma podrške u prijenosu rezultata istraživanja iz javnog u privatni sektor kako bi se stvorili novi proizvodi i usluge,</w:t>
            </w:r>
          </w:p>
          <w:p w:rsidR="00621458" w:rsidRPr="00D60728" w:rsidRDefault="00621458" w:rsidP="00BF7DCC">
            <w:pPr>
              <w:pStyle w:val="ListParagraph"/>
              <w:numPr>
                <w:ilvl w:val="0"/>
                <w:numId w:val="56"/>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Pratit će se broj prijavljenih i odobrenih patenata te broj novih proizvoda,</w:t>
            </w:r>
          </w:p>
          <w:p w:rsidR="00621458" w:rsidRPr="00D60728" w:rsidRDefault="00621458" w:rsidP="00BF7DCC">
            <w:pPr>
              <w:pStyle w:val="ListParagraph"/>
              <w:numPr>
                <w:ilvl w:val="0"/>
                <w:numId w:val="56"/>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Pratit će se potrebe za radnom snagom i dodatnim kvalifikacijama radne snage te uspostaviti kontinuirana komunikacija s državnim tijelima nadležnim za obrazovanje i za zapošljavanje.</w:t>
            </w:r>
          </w:p>
        </w:tc>
      </w:tr>
      <w:tr w:rsidR="00FD6EF9" w:rsidRPr="00D60728" w:rsidTr="000E17C6">
        <w:trPr>
          <w:trHeight w:val="918"/>
        </w:trPr>
        <w:tc>
          <w:tcPr>
            <w:tcW w:w="1129" w:type="dxa"/>
            <w:vMerge/>
            <w:vAlign w:val="center"/>
            <w:hideMark/>
          </w:tcPr>
          <w:p w:rsidR="00FD6EF9" w:rsidRPr="00D60728" w:rsidRDefault="00FD6EF9" w:rsidP="00BF7DCC">
            <w:pPr>
              <w:spacing w:line="240" w:lineRule="auto"/>
              <w:jc w:val="left"/>
              <w:rPr>
                <w:rFonts w:ascii="Times New Roman" w:hAnsi="Times New Roman"/>
                <w:sz w:val="20"/>
                <w:szCs w:val="20"/>
              </w:rPr>
            </w:pPr>
          </w:p>
        </w:tc>
        <w:tc>
          <w:tcPr>
            <w:tcW w:w="1418" w:type="dxa"/>
            <w:vAlign w:val="center"/>
            <w:hideMark/>
          </w:tcPr>
          <w:p w:rsidR="00FD6EF9" w:rsidRPr="00D60728" w:rsidRDefault="00FD6EF9"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0E17C6" w:rsidRPr="00D60728" w:rsidRDefault="00FD6EF9" w:rsidP="00BF7DCC">
            <w:pPr>
              <w:spacing w:line="240" w:lineRule="auto"/>
              <w:rPr>
                <w:rFonts w:ascii="Times New Roman" w:hAnsi="Times New Roman"/>
                <w:i/>
                <w:iCs/>
                <w:sz w:val="20"/>
                <w:szCs w:val="20"/>
              </w:rPr>
            </w:pPr>
            <w:r w:rsidRPr="00D60728">
              <w:rPr>
                <w:rFonts w:ascii="Times New Roman" w:hAnsi="Times New Roman"/>
                <w:i/>
                <w:iCs/>
                <w:sz w:val="20"/>
                <w:szCs w:val="20"/>
              </w:rPr>
              <w:t>HAMAG-BICRO</w:t>
            </w:r>
          </w:p>
          <w:p w:rsidR="000E17C6" w:rsidRPr="00D60728" w:rsidRDefault="00FD6EF9" w:rsidP="00BF7DCC">
            <w:pPr>
              <w:spacing w:line="240" w:lineRule="auto"/>
              <w:rPr>
                <w:rFonts w:ascii="Times New Roman" w:hAnsi="Times New Roman"/>
                <w:i/>
                <w:iCs/>
                <w:sz w:val="20"/>
                <w:szCs w:val="20"/>
              </w:rPr>
            </w:pPr>
            <w:r w:rsidRPr="00D60728">
              <w:rPr>
                <w:rFonts w:ascii="Times New Roman" w:hAnsi="Times New Roman"/>
                <w:i/>
                <w:iCs/>
                <w:sz w:val="20"/>
                <w:szCs w:val="20"/>
              </w:rPr>
              <w:t>MZO</w:t>
            </w:r>
          </w:p>
          <w:p w:rsidR="00FD6EF9" w:rsidRPr="00D60728" w:rsidRDefault="00FD6EF9" w:rsidP="00BF7DCC">
            <w:pPr>
              <w:spacing w:line="240" w:lineRule="auto"/>
              <w:rPr>
                <w:rFonts w:ascii="Times New Roman" w:hAnsi="Times New Roman"/>
                <w:i/>
                <w:iCs/>
                <w:sz w:val="20"/>
                <w:szCs w:val="20"/>
              </w:rPr>
            </w:pPr>
            <w:r w:rsidRPr="00D60728">
              <w:rPr>
                <w:rFonts w:ascii="Times New Roman" w:hAnsi="Times New Roman"/>
                <w:i/>
                <w:iCs/>
                <w:sz w:val="20"/>
                <w:szCs w:val="20"/>
              </w:rPr>
              <w:t>MGPO</w:t>
            </w:r>
          </w:p>
        </w:tc>
      </w:tr>
      <w:tr w:rsidR="00621458" w:rsidRPr="00D60728" w:rsidTr="00621458">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p>
        </w:tc>
      </w:tr>
      <w:tr w:rsidR="00FD6EF9" w:rsidRPr="00D60728" w:rsidTr="00853EA3">
        <w:trPr>
          <w:trHeight w:val="839"/>
        </w:trPr>
        <w:tc>
          <w:tcPr>
            <w:tcW w:w="1129" w:type="dxa"/>
            <w:vMerge w:val="restart"/>
            <w:vAlign w:val="center"/>
            <w:hideMark/>
          </w:tcPr>
          <w:p w:rsidR="00FD6EF9" w:rsidRPr="00D60728" w:rsidRDefault="00FD6EF9"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FD6EF9" w:rsidRPr="00D60728" w:rsidRDefault="00FD6EF9"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FD6EF9" w:rsidRPr="00D60728" w:rsidRDefault="00FD6EF9"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Niskougljični proizvodi i usluge plasirani na tržište</w:t>
            </w:r>
          </w:p>
        </w:tc>
      </w:tr>
      <w:tr w:rsidR="009B02B0" w:rsidRPr="00D60728" w:rsidTr="00853EA3">
        <w:trPr>
          <w:trHeight w:val="1120"/>
        </w:trPr>
        <w:tc>
          <w:tcPr>
            <w:tcW w:w="1129" w:type="dxa"/>
            <w:vMerge/>
            <w:vAlign w:val="center"/>
            <w:hideMark/>
          </w:tcPr>
          <w:p w:rsidR="009B02B0" w:rsidRPr="00D60728" w:rsidRDefault="009B02B0" w:rsidP="00BF7DCC">
            <w:pPr>
              <w:spacing w:line="240" w:lineRule="auto"/>
              <w:jc w:val="left"/>
              <w:rPr>
                <w:rFonts w:ascii="Times New Roman" w:hAnsi="Times New Roman"/>
                <w:sz w:val="20"/>
                <w:szCs w:val="20"/>
              </w:rPr>
            </w:pPr>
          </w:p>
        </w:tc>
        <w:tc>
          <w:tcPr>
            <w:tcW w:w="1418" w:type="dxa"/>
            <w:vAlign w:val="center"/>
          </w:tcPr>
          <w:p w:rsidR="009B02B0" w:rsidRPr="00D60728" w:rsidRDefault="009B02B0"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9B02B0" w:rsidRPr="00D60728" w:rsidRDefault="009B02B0"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izvješća Povjerenstva za međusektorsku koordinaciju za politiku i mjere za ublaživanje i prilagodbu klimatskim promjenama</w:t>
            </w:r>
          </w:p>
        </w:tc>
      </w:tr>
    </w:tbl>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621458" w:rsidRPr="00D60728" w:rsidRDefault="00621458" w:rsidP="00BF7DCC">
      <w:pPr>
        <w:pStyle w:val="Caption"/>
        <w:keepNext/>
        <w:spacing w:after="0" w:line="240" w:lineRule="auto"/>
        <w:rPr>
          <w:sz w:val="20"/>
          <w:szCs w:val="20"/>
        </w:rPr>
      </w:pPr>
    </w:p>
    <w:p w:rsidR="00920482" w:rsidRPr="00D60728" w:rsidRDefault="00920482" w:rsidP="00BF7DCC">
      <w:pPr>
        <w:spacing w:line="240" w:lineRule="auto"/>
        <w:rPr>
          <w:sz w:val="20"/>
          <w:szCs w:val="20"/>
        </w:rPr>
      </w:pPr>
      <w:r w:rsidRPr="00D60728">
        <w:rPr>
          <w:sz w:val="20"/>
          <w:szCs w:val="20"/>
        </w:rPr>
        <w:br w:type="page"/>
      </w:r>
    </w:p>
    <w:tbl>
      <w:tblPr>
        <w:tblStyle w:val="TableGrid"/>
        <w:tblW w:w="9175" w:type="dxa"/>
        <w:tblLayout w:type="fixed"/>
        <w:tblLook w:val="04A0" w:firstRow="1" w:lastRow="0" w:firstColumn="1" w:lastColumn="0" w:noHBand="0" w:noVBand="1"/>
      </w:tblPr>
      <w:tblGrid>
        <w:gridCol w:w="1129"/>
        <w:gridCol w:w="1418"/>
        <w:gridCol w:w="6628"/>
      </w:tblGrid>
      <w:tr w:rsidR="00621458" w:rsidRPr="00723C4A" w:rsidTr="009B02B0">
        <w:trPr>
          <w:trHeight w:val="454"/>
        </w:trPr>
        <w:tc>
          <w:tcPr>
            <w:tcW w:w="2547" w:type="dxa"/>
            <w:gridSpan w:val="2"/>
            <w:shd w:val="clear" w:color="auto" w:fill="D9D9D9" w:themeFill="background1" w:themeFillShade="D9"/>
            <w:vAlign w:val="center"/>
            <w:hideMark/>
          </w:tcPr>
          <w:p w:rsidR="00621458" w:rsidRPr="00723C4A" w:rsidRDefault="00621458" w:rsidP="00723C4A">
            <w:pPr>
              <w:spacing w:line="240" w:lineRule="auto"/>
              <w:ind w:right="57"/>
              <w:jc w:val="left"/>
              <w:rPr>
                <w:rFonts w:ascii="Times New Roman" w:hAnsi="Times New Roman"/>
                <w:b/>
                <w:iCs/>
              </w:rPr>
            </w:pPr>
            <w:r w:rsidRPr="00723C4A">
              <w:rPr>
                <w:rFonts w:ascii="Times New Roman" w:hAnsi="Times New Roman"/>
                <w:b/>
                <w:iCs/>
              </w:rPr>
              <w:lastRenderedPageBreak/>
              <w:t>Naziv mjere</w:t>
            </w:r>
          </w:p>
        </w:tc>
        <w:tc>
          <w:tcPr>
            <w:tcW w:w="6628" w:type="dxa"/>
            <w:shd w:val="clear" w:color="auto" w:fill="D9D9D9" w:themeFill="background1" w:themeFillShade="D9"/>
            <w:vAlign w:val="center"/>
          </w:tcPr>
          <w:p w:rsidR="00621458" w:rsidRPr="00723C4A" w:rsidRDefault="00621458" w:rsidP="00723C4A">
            <w:pPr>
              <w:spacing w:line="240" w:lineRule="auto"/>
              <w:ind w:right="57"/>
              <w:jc w:val="left"/>
              <w:rPr>
                <w:rFonts w:ascii="Times New Roman" w:hAnsi="Times New Roman"/>
                <w:b/>
                <w:i/>
                <w:iCs/>
              </w:rPr>
            </w:pPr>
            <w:r w:rsidRPr="00723C4A">
              <w:rPr>
                <w:rFonts w:ascii="Times New Roman" w:hAnsi="Times New Roman"/>
                <w:b/>
                <w:i/>
                <w:iCs/>
              </w:rPr>
              <w:t>Poticanje transfera znanja i tehnologija iz sustava znanosti u sustav gospodarstva s naglaskom na niskougljične tehnologije</w:t>
            </w:r>
          </w:p>
        </w:tc>
      </w:tr>
      <w:tr w:rsidR="00621458" w:rsidRPr="00D60728" w:rsidTr="009B02B0">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MCC-20</w:t>
            </w:r>
          </w:p>
        </w:tc>
      </w:tr>
      <w:tr w:rsidR="00621458" w:rsidRPr="00D60728" w:rsidTr="009B02B0">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621458" w:rsidRPr="00D60728" w:rsidTr="009B02B0">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621458" w:rsidRPr="00D60728" w:rsidTr="009B02B0">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FD6EF9" w:rsidRPr="00D60728">
              <w:rPr>
                <w:rFonts w:ascii="Times New Roman" w:hAnsi="Times New Roman"/>
                <w:i/>
                <w:iCs/>
                <w:sz w:val="20"/>
                <w:szCs w:val="20"/>
              </w:rPr>
              <w:t>24</w:t>
            </w:r>
            <w:r w:rsidRPr="00D60728">
              <w:rPr>
                <w:rFonts w:ascii="Times New Roman" w:hAnsi="Times New Roman"/>
                <w:i/>
                <w:iCs/>
                <w:sz w:val="20"/>
                <w:szCs w:val="20"/>
              </w:rPr>
              <w:t>.</w:t>
            </w:r>
          </w:p>
        </w:tc>
      </w:tr>
      <w:tr w:rsidR="000A4891" w:rsidRPr="00D60728" w:rsidTr="009B02B0">
        <w:trPr>
          <w:trHeight w:val="1247"/>
        </w:trPr>
        <w:tc>
          <w:tcPr>
            <w:tcW w:w="1129" w:type="dxa"/>
            <w:vMerge/>
            <w:vAlign w:val="center"/>
            <w:hideMark/>
          </w:tcPr>
          <w:p w:rsidR="000A4891" w:rsidRPr="00D60728" w:rsidRDefault="000A4891" w:rsidP="00BF7DCC">
            <w:pPr>
              <w:spacing w:line="240" w:lineRule="auto"/>
              <w:jc w:val="left"/>
              <w:rPr>
                <w:rFonts w:ascii="Times New Roman" w:hAnsi="Times New Roman"/>
                <w:sz w:val="20"/>
                <w:szCs w:val="20"/>
              </w:rPr>
            </w:pPr>
          </w:p>
        </w:tc>
        <w:tc>
          <w:tcPr>
            <w:tcW w:w="1418" w:type="dxa"/>
            <w:vAlign w:val="center"/>
            <w:hideMark/>
          </w:tcPr>
          <w:p w:rsidR="000A4891" w:rsidRPr="00D60728" w:rsidRDefault="000A4891"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0A4891" w:rsidRPr="00D60728" w:rsidRDefault="000A4891"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Mjerom se potiče razvoj osnovanih ureda za transfer tehnologije ili srodnih organizacijskih jedinica u javnim znanstvenim organizacijama i znanstveno-tehnologijskih parkova s ciljem prijenosa znanja i razvoja tehnologija koje će pridonijeti razvoju niskougljičnog gospodarstva.</w:t>
            </w:r>
          </w:p>
        </w:tc>
      </w:tr>
      <w:tr w:rsidR="00621458" w:rsidRPr="00D60728" w:rsidTr="009B02B0">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ListParagraph"/>
              <w:numPr>
                <w:ilvl w:val="0"/>
                <w:numId w:val="57"/>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Davanje godišnjih potpora javnim znanstvenim organizacijama za osnivanje razvojnih tvrtki ili tvrtki kćeri proizašlih iz rezultata znanstvenih istraživanja; </w:t>
            </w:r>
          </w:p>
          <w:p w:rsidR="00621458" w:rsidRPr="00D60728" w:rsidRDefault="00621458" w:rsidP="00BF7DCC">
            <w:pPr>
              <w:pStyle w:val="ListParagraph"/>
              <w:numPr>
                <w:ilvl w:val="0"/>
                <w:numId w:val="57"/>
              </w:numPr>
              <w:spacing w:line="240" w:lineRule="auto"/>
              <w:ind w:left="284" w:hanging="284"/>
              <w:rPr>
                <w:rFonts w:ascii="Times New Roman" w:hAnsi="Times New Roman"/>
                <w:i/>
                <w:sz w:val="20"/>
                <w:szCs w:val="20"/>
              </w:rPr>
            </w:pPr>
            <w:r w:rsidRPr="00D60728">
              <w:rPr>
                <w:rFonts w:ascii="Times New Roman" w:hAnsi="Times New Roman"/>
                <w:i/>
                <w:sz w:val="20"/>
                <w:szCs w:val="20"/>
              </w:rPr>
              <w:t>Davanje potpora za ostvarivanje suradnje poduzetnika i sustava znanosti, poslovni susreti, poslovno savjetovanje;</w:t>
            </w:r>
          </w:p>
          <w:p w:rsidR="00621458" w:rsidRPr="00D60728" w:rsidRDefault="00621458" w:rsidP="00BF7DCC">
            <w:pPr>
              <w:pStyle w:val="ListParagraph"/>
              <w:numPr>
                <w:ilvl w:val="0"/>
                <w:numId w:val="57"/>
              </w:numPr>
              <w:spacing w:line="240" w:lineRule="auto"/>
              <w:ind w:left="284" w:hanging="284"/>
              <w:rPr>
                <w:rFonts w:ascii="Times New Roman" w:hAnsi="Times New Roman"/>
                <w:i/>
                <w:sz w:val="20"/>
                <w:szCs w:val="20"/>
              </w:rPr>
            </w:pPr>
            <w:r w:rsidRPr="00D60728">
              <w:rPr>
                <w:rFonts w:ascii="Times New Roman" w:hAnsi="Times New Roman"/>
                <w:i/>
                <w:sz w:val="20"/>
                <w:szCs w:val="20"/>
              </w:rPr>
              <w:t>Pisanje poslovnih planova;</w:t>
            </w:r>
          </w:p>
          <w:p w:rsidR="00621458" w:rsidRPr="00D60728" w:rsidRDefault="00621458" w:rsidP="00BF7DCC">
            <w:pPr>
              <w:pStyle w:val="ListParagraph"/>
              <w:numPr>
                <w:ilvl w:val="0"/>
                <w:numId w:val="57"/>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 Financiranje pred-evaluacije i mentoriranje pisanja projekata velike vrijednosti i infrastrukturnih projekata;</w:t>
            </w:r>
          </w:p>
          <w:p w:rsidR="00621458" w:rsidRPr="00D60728" w:rsidRDefault="00621458" w:rsidP="00BF7DCC">
            <w:pPr>
              <w:pStyle w:val="ListParagraph"/>
              <w:numPr>
                <w:ilvl w:val="0"/>
                <w:numId w:val="57"/>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 Mentoriranje razvoja poslovnih planova i pitchanja ulagačima, financiranje stručnjaka za zaštitu prava intelektualnog vlasništva;</w:t>
            </w:r>
          </w:p>
          <w:p w:rsidR="00621458" w:rsidRPr="00D60728" w:rsidRDefault="00621458" w:rsidP="00BF7DCC">
            <w:pPr>
              <w:pStyle w:val="ListParagraph"/>
              <w:numPr>
                <w:ilvl w:val="0"/>
                <w:numId w:val="57"/>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 Financiranje potpora za projekte u fazi potvrde koncepta i sl., s naglaskom na održive tehnologije koje doprinose niskougljičnom razvoju. </w:t>
            </w:r>
          </w:p>
          <w:p w:rsidR="00621458" w:rsidRPr="00D60728" w:rsidRDefault="00621458" w:rsidP="00BF7DCC">
            <w:pPr>
              <w:pStyle w:val="ListParagraph"/>
              <w:numPr>
                <w:ilvl w:val="0"/>
                <w:numId w:val="57"/>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Pratit će se broj ostvarenih suradnji između sustava znanosti i industrije u području niskougljične tehnologije, broj napisanih poslovnih planova, broj osiguranih daljnjih investicija nakon PoC faze; broj predanih zahtjeva za zaštitu prava intelektualnog vlasništva; broj novoosnovanih razvojnih tvrtki ili tvrtki kćeri u razdoblju od 5 godina od osnutka, te poslovni uspjeh. Također, na godišnjoj će se razini raspisati poziv za PoC fazu projekata koje će provoditi uredi za transfer tehnologije</w:t>
            </w:r>
          </w:p>
        </w:tc>
      </w:tr>
      <w:tr w:rsidR="000A4891" w:rsidRPr="00D60728" w:rsidTr="009B02B0">
        <w:trPr>
          <w:trHeight w:val="618"/>
        </w:trPr>
        <w:tc>
          <w:tcPr>
            <w:tcW w:w="1129" w:type="dxa"/>
            <w:vMerge/>
            <w:vAlign w:val="center"/>
            <w:hideMark/>
          </w:tcPr>
          <w:p w:rsidR="000A4891" w:rsidRPr="00D60728" w:rsidRDefault="000A4891" w:rsidP="00BF7DCC">
            <w:pPr>
              <w:spacing w:line="240" w:lineRule="auto"/>
              <w:jc w:val="left"/>
              <w:rPr>
                <w:rFonts w:ascii="Times New Roman" w:hAnsi="Times New Roman"/>
                <w:sz w:val="20"/>
                <w:szCs w:val="20"/>
              </w:rPr>
            </w:pPr>
          </w:p>
        </w:tc>
        <w:tc>
          <w:tcPr>
            <w:tcW w:w="1418" w:type="dxa"/>
            <w:vAlign w:val="center"/>
            <w:hideMark/>
          </w:tcPr>
          <w:p w:rsidR="000A4891" w:rsidRPr="00D60728" w:rsidRDefault="000A4891"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0A4891" w:rsidRPr="00D60728" w:rsidRDefault="000A4891" w:rsidP="00BF7DCC">
            <w:pPr>
              <w:spacing w:line="240" w:lineRule="auto"/>
              <w:rPr>
                <w:rFonts w:ascii="Times New Roman" w:hAnsi="Times New Roman"/>
                <w:i/>
                <w:iCs/>
                <w:sz w:val="20"/>
                <w:szCs w:val="20"/>
              </w:rPr>
            </w:pPr>
            <w:r w:rsidRPr="00D60728">
              <w:rPr>
                <w:rFonts w:ascii="Times New Roman" w:hAnsi="Times New Roman"/>
                <w:i/>
                <w:iCs/>
                <w:sz w:val="20"/>
                <w:szCs w:val="20"/>
              </w:rPr>
              <w:t>MZO</w:t>
            </w:r>
          </w:p>
        </w:tc>
      </w:tr>
      <w:tr w:rsidR="00621458" w:rsidRPr="00D60728" w:rsidTr="009B02B0">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na godišnjoj razini do 5 milijuna kuna</w:t>
            </w:r>
          </w:p>
        </w:tc>
      </w:tr>
      <w:tr w:rsidR="000A4891" w:rsidRPr="00D60728" w:rsidTr="009B02B0">
        <w:trPr>
          <w:trHeight w:val="839"/>
        </w:trPr>
        <w:tc>
          <w:tcPr>
            <w:tcW w:w="1129" w:type="dxa"/>
            <w:vMerge w:val="restart"/>
            <w:vAlign w:val="center"/>
            <w:hideMark/>
          </w:tcPr>
          <w:p w:rsidR="000A4891" w:rsidRPr="00D60728" w:rsidRDefault="000A4891"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0A4891" w:rsidRPr="00D60728" w:rsidRDefault="000A4891"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0A4891" w:rsidRPr="00D60728" w:rsidRDefault="000A4891"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Niskougljični proizvodi i usluge plasirani na tržište</w:t>
            </w:r>
          </w:p>
        </w:tc>
      </w:tr>
      <w:tr w:rsidR="000A4891" w:rsidRPr="00D60728" w:rsidTr="009B02B0">
        <w:trPr>
          <w:trHeight w:val="1304"/>
        </w:trPr>
        <w:tc>
          <w:tcPr>
            <w:tcW w:w="1129" w:type="dxa"/>
            <w:vMerge/>
            <w:vAlign w:val="center"/>
            <w:hideMark/>
          </w:tcPr>
          <w:p w:rsidR="000A4891" w:rsidRPr="00D60728" w:rsidRDefault="000A4891" w:rsidP="00BF7DCC">
            <w:pPr>
              <w:spacing w:line="240" w:lineRule="auto"/>
              <w:jc w:val="left"/>
              <w:rPr>
                <w:rFonts w:ascii="Times New Roman" w:hAnsi="Times New Roman"/>
                <w:sz w:val="20"/>
                <w:szCs w:val="20"/>
              </w:rPr>
            </w:pPr>
          </w:p>
        </w:tc>
        <w:tc>
          <w:tcPr>
            <w:tcW w:w="1418" w:type="dxa"/>
            <w:vAlign w:val="center"/>
          </w:tcPr>
          <w:p w:rsidR="000A4891" w:rsidRPr="00D60728" w:rsidRDefault="000A4891"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0A4891" w:rsidRPr="00D60728" w:rsidRDefault="000A4891"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Izvještaji o radu ureda za transfer tehnologije i znanstveno-tehnologijskih parkova.</w:t>
            </w:r>
          </w:p>
        </w:tc>
      </w:tr>
    </w:tbl>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803E2F" w:rsidRDefault="00803E2F" w:rsidP="00BF7DCC">
      <w:pPr>
        <w:spacing w:line="240" w:lineRule="auto"/>
        <w:rPr>
          <w:sz w:val="20"/>
          <w:szCs w:val="20"/>
        </w:rPr>
      </w:pPr>
    </w:p>
    <w:p w:rsidR="00723C4A" w:rsidRDefault="00723C4A" w:rsidP="00BF7DCC">
      <w:pPr>
        <w:spacing w:line="240" w:lineRule="auto"/>
        <w:rPr>
          <w:sz w:val="20"/>
          <w:szCs w:val="20"/>
        </w:rPr>
      </w:pPr>
    </w:p>
    <w:p w:rsidR="00723C4A" w:rsidRDefault="00723C4A" w:rsidP="00BF7DCC">
      <w:pPr>
        <w:spacing w:line="240" w:lineRule="auto"/>
        <w:rPr>
          <w:sz w:val="20"/>
          <w:szCs w:val="20"/>
        </w:rPr>
      </w:pPr>
    </w:p>
    <w:p w:rsidR="00723C4A" w:rsidRDefault="00723C4A" w:rsidP="00BF7DCC">
      <w:pPr>
        <w:spacing w:line="240" w:lineRule="auto"/>
        <w:rPr>
          <w:sz w:val="20"/>
          <w:szCs w:val="20"/>
        </w:rPr>
      </w:pPr>
    </w:p>
    <w:p w:rsidR="00723C4A" w:rsidRPr="00D60728" w:rsidRDefault="00723C4A" w:rsidP="00BF7DCC">
      <w:pPr>
        <w:spacing w:line="240" w:lineRule="auto"/>
        <w:rPr>
          <w:sz w:val="20"/>
          <w:szCs w:val="20"/>
        </w:rPr>
      </w:pPr>
    </w:p>
    <w:tbl>
      <w:tblPr>
        <w:tblStyle w:val="TableGrid"/>
        <w:tblW w:w="9175" w:type="dxa"/>
        <w:tblLayout w:type="fixed"/>
        <w:tblLook w:val="04A0" w:firstRow="1" w:lastRow="0" w:firstColumn="1" w:lastColumn="0" w:noHBand="0" w:noVBand="1"/>
      </w:tblPr>
      <w:tblGrid>
        <w:gridCol w:w="1129"/>
        <w:gridCol w:w="1418"/>
        <w:gridCol w:w="6628"/>
      </w:tblGrid>
      <w:tr w:rsidR="00621458" w:rsidRPr="00723C4A" w:rsidTr="00803E2F">
        <w:trPr>
          <w:trHeight w:val="454"/>
        </w:trPr>
        <w:tc>
          <w:tcPr>
            <w:tcW w:w="2547" w:type="dxa"/>
            <w:gridSpan w:val="2"/>
            <w:shd w:val="clear" w:color="auto" w:fill="D9D9D9" w:themeFill="background1" w:themeFillShade="D9"/>
            <w:vAlign w:val="center"/>
            <w:hideMark/>
          </w:tcPr>
          <w:p w:rsidR="00621458" w:rsidRPr="00723C4A" w:rsidRDefault="00621458" w:rsidP="00BF7DCC">
            <w:pPr>
              <w:spacing w:line="240" w:lineRule="auto"/>
              <w:ind w:right="57"/>
              <w:jc w:val="left"/>
              <w:rPr>
                <w:rFonts w:ascii="Times New Roman" w:hAnsi="Times New Roman"/>
                <w:b/>
                <w:iCs/>
              </w:rPr>
            </w:pPr>
            <w:r w:rsidRPr="00723C4A">
              <w:rPr>
                <w:rFonts w:ascii="Times New Roman" w:hAnsi="Times New Roman"/>
                <w:b/>
                <w:iCs/>
              </w:rPr>
              <w:lastRenderedPageBreak/>
              <w:t>Naziv mjere</w:t>
            </w:r>
          </w:p>
        </w:tc>
        <w:tc>
          <w:tcPr>
            <w:tcW w:w="6628" w:type="dxa"/>
            <w:shd w:val="clear" w:color="auto" w:fill="D9D9D9" w:themeFill="background1" w:themeFillShade="D9"/>
            <w:vAlign w:val="center"/>
          </w:tcPr>
          <w:p w:rsidR="00621458" w:rsidRPr="00723C4A" w:rsidRDefault="00621458" w:rsidP="00BF7DCC">
            <w:pPr>
              <w:spacing w:line="240" w:lineRule="auto"/>
              <w:ind w:right="57"/>
              <w:rPr>
                <w:rFonts w:ascii="Times New Roman" w:hAnsi="Times New Roman"/>
                <w:b/>
                <w:i/>
                <w:iCs/>
              </w:rPr>
            </w:pPr>
            <w:r w:rsidRPr="00723C4A">
              <w:rPr>
                <w:rFonts w:ascii="Times New Roman" w:hAnsi="Times New Roman"/>
                <w:b/>
                <w:i/>
                <w:iCs/>
              </w:rPr>
              <w:t>Poticanje daljnjeg rada znanstvenih centara izvrsnosti osnovanih u području prirodnih, tehnički, biotehnički i biomedicinskih znanosti</w:t>
            </w:r>
          </w:p>
        </w:tc>
      </w:tr>
      <w:tr w:rsidR="00621458" w:rsidRPr="00D60728" w:rsidTr="00803E2F">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MCC-21</w:t>
            </w:r>
          </w:p>
        </w:tc>
      </w:tr>
      <w:tr w:rsidR="00621458" w:rsidRPr="00D60728" w:rsidTr="00803E2F">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621458" w:rsidRPr="00D60728" w:rsidTr="00803E2F">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621458" w:rsidRPr="00D60728" w:rsidTr="00803E2F">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FD6EF9" w:rsidRPr="00D60728">
              <w:rPr>
                <w:rFonts w:ascii="Times New Roman" w:hAnsi="Times New Roman"/>
                <w:i/>
                <w:iCs/>
                <w:sz w:val="20"/>
                <w:szCs w:val="20"/>
              </w:rPr>
              <w:t>24</w:t>
            </w:r>
            <w:r w:rsidRPr="00D60728">
              <w:rPr>
                <w:rFonts w:ascii="Times New Roman" w:hAnsi="Times New Roman"/>
                <w:i/>
                <w:iCs/>
                <w:sz w:val="20"/>
                <w:szCs w:val="20"/>
              </w:rPr>
              <w:t>.</w:t>
            </w:r>
          </w:p>
        </w:tc>
      </w:tr>
      <w:tr w:rsidR="007D34AA" w:rsidRPr="00D60728" w:rsidTr="007D34AA">
        <w:trPr>
          <w:trHeight w:val="907"/>
        </w:trPr>
        <w:tc>
          <w:tcPr>
            <w:tcW w:w="1129" w:type="dxa"/>
            <w:vMerge/>
            <w:vAlign w:val="center"/>
            <w:hideMark/>
          </w:tcPr>
          <w:p w:rsidR="007D34AA" w:rsidRPr="00D60728" w:rsidRDefault="007D34AA" w:rsidP="00BF7DCC">
            <w:pPr>
              <w:spacing w:line="240" w:lineRule="auto"/>
              <w:jc w:val="left"/>
              <w:rPr>
                <w:rFonts w:ascii="Times New Roman" w:hAnsi="Times New Roman"/>
                <w:sz w:val="20"/>
                <w:szCs w:val="20"/>
              </w:rPr>
            </w:pPr>
          </w:p>
        </w:tc>
        <w:tc>
          <w:tcPr>
            <w:tcW w:w="1418" w:type="dxa"/>
            <w:vAlign w:val="center"/>
            <w:hideMark/>
          </w:tcPr>
          <w:p w:rsidR="007D34AA" w:rsidRPr="00D60728" w:rsidRDefault="007D34AA"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7D34AA" w:rsidRPr="00D60728" w:rsidRDefault="007D34AA"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Mjerom se potiče daljnji rad osnovanih i centara izvrsnosti čiji je rad pozitivno ocijenjen u periodičkom postupku evaluacije s ciljem daljnjeg razvoja niskougljičnog gospodarstva.</w:t>
            </w:r>
          </w:p>
        </w:tc>
      </w:tr>
      <w:tr w:rsidR="00621458" w:rsidRPr="00D60728" w:rsidTr="00803E2F">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ListParagraph"/>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Davanje potpora za industrijsko i eksperimentalno istraživanje znanstvenih centara izvrsnosti u području koje će odrediti Povjerenstvo za međusektorsku koordinaciju za politiku i mjere za ublaživanje i prilagodbu klimatskim promjenama, a s ciljem daljnje nadogradnje na rezultate istraživanja financiranih u financijskom razdoblju 2014.-2020.</w:t>
            </w:r>
          </w:p>
        </w:tc>
      </w:tr>
      <w:tr w:rsidR="007D34AA" w:rsidRPr="00D60728" w:rsidTr="00853EA3">
        <w:trPr>
          <w:trHeight w:val="918"/>
        </w:trPr>
        <w:tc>
          <w:tcPr>
            <w:tcW w:w="1129" w:type="dxa"/>
            <w:vMerge/>
            <w:vAlign w:val="center"/>
            <w:hideMark/>
          </w:tcPr>
          <w:p w:rsidR="007D34AA" w:rsidRPr="00D60728" w:rsidRDefault="007D34AA" w:rsidP="00BF7DCC">
            <w:pPr>
              <w:spacing w:line="240" w:lineRule="auto"/>
              <w:jc w:val="left"/>
              <w:rPr>
                <w:rFonts w:ascii="Times New Roman" w:hAnsi="Times New Roman"/>
                <w:sz w:val="20"/>
                <w:szCs w:val="20"/>
              </w:rPr>
            </w:pPr>
          </w:p>
        </w:tc>
        <w:tc>
          <w:tcPr>
            <w:tcW w:w="1418" w:type="dxa"/>
            <w:vAlign w:val="center"/>
            <w:hideMark/>
          </w:tcPr>
          <w:p w:rsidR="007D34AA" w:rsidRPr="00D60728" w:rsidRDefault="007D34AA"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7D34AA" w:rsidRPr="00D60728" w:rsidRDefault="007D34AA" w:rsidP="00BF7DCC">
            <w:pPr>
              <w:spacing w:line="240" w:lineRule="auto"/>
              <w:rPr>
                <w:rFonts w:ascii="Times New Roman" w:hAnsi="Times New Roman"/>
                <w:i/>
                <w:iCs/>
                <w:sz w:val="20"/>
                <w:szCs w:val="20"/>
              </w:rPr>
            </w:pPr>
            <w:r w:rsidRPr="00D60728">
              <w:rPr>
                <w:rFonts w:ascii="Times New Roman" w:hAnsi="Times New Roman"/>
                <w:i/>
                <w:iCs/>
                <w:sz w:val="20"/>
                <w:szCs w:val="20"/>
              </w:rPr>
              <w:t>MZO</w:t>
            </w:r>
          </w:p>
        </w:tc>
      </w:tr>
      <w:tr w:rsidR="00621458" w:rsidRPr="00D60728" w:rsidTr="00803E2F">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ListParagraph"/>
              <w:spacing w:line="240" w:lineRule="auto"/>
              <w:contextualSpacing w:val="0"/>
              <w:jc w:val="left"/>
              <w:rPr>
                <w:rFonts w:ascii="Times New Roman" w:hAnsi="Times New Roman"/>
                <w:i/>
                <w:iCs/>
                <w:sz w:val="20"/>
                <w:szCs w:val="20"/>
              </w:rPr>
            </w:pPr>
          </w:p>
        </w:tc>
      </w:tr>
      <w:tr w:rsidR="007D34AA" w:rsidRPr="00D60728" w:rsidTr="00853EA3">
        <w:trPr>
          <w:trHeight w:val="945"/>
        </w:trPr>
        <w:tc>
          <w:tcPr>
            <w:tcW w:w="1129" w:type="dxa"/>
            <w:vMerge w:val="restart"/>
            <w:vAlign w:val="center"/>
            <w:hideMark/>
          </w:tcPr>
          <w:p w:rsidR="007D34AA" w:rsidRPr="00D60728" w:rsidRDefault="007D34AA"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7D34AA" w:rsidRPr="00D60728" w:rsidRDefault="007D34AA"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7D34AA" w:rsidRPr="00D60728" w:rsidRDefault="007D34AA"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rezultati industrijskih i eksperimentalnih istraživanja u području niskougljičnog razvoja</w:t>
            </w:r>
          </w:p>
        </w:tc>
      </w:tr>
      <w:tr w:rsidR="00803E2F" w:rsidRPr="00D60728" w:rsidTr="00803E2F">
        <w:trPr>
          <w:trHeight w:val="1304"/>
        </w:trPr>
        <w:tc>
          <w:tcPr>
            <w:tcW w:w="1129" w:type="dxa"/>
            <w:vMerge/>
            <w:vAlign w:val="center"/>
            <w:hideMark/>
          </w:tcPr>
          <w:p w:rsidR="00803E2F" w:rsidRPr="00D60728" w:rsidRDefault="00803E2F" w:rsidP="00BF7DCC">
            <w:pPr>
              <w:spacing w:line="240" w:lineRule="auto"/>
              <w:jc w:val="left"/>
              <w:rPr>
                <w:rFonts w:ascii="Times New Roman" w:hAnsi="Times New Roman"/>
                <w:sz w:val="20"/>
                <w:szCs w:val="20"/>
              </w:rPr>
            </w:pPr>
          </w:p>
        </w:tc>
        <w:tc>
          <w:tcPr>
            <w:tcW w:w="1418" w:type="dxa"/>
            <w:vAlign w:val="center"/>
          </w:tcPr>
          <w:p w:rsidR="00803E2F" w:rsidRPr="00D60728" w:rsidRDefault="00803E2F"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803E2F" w:rsidRPr="00D60728" w:rsidRDefault="00803E2F"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Izvještaji o radu ZCI koji se na godišnjoj razini predaju MZO i AZVO.</w:t>
            </w:r>
          </w:p>
        </w:tc>
      </w:tr>
    </w:tbl>
    <w:p w:rsidR="00621458" w:rsidRPr="00D60728" w:rsidRDefault="00621458" w:rsidP="00BF7DCC">
      <w:pPr>
        <w:pStyle w:val="Caption"/>
        <w:keepNext/>
        <w:spacing w:after="0" w:line="240" w:lineRule="auto"/>
        <w:rPr>
          <w:sz w:val="20"/>
          <w:szCs w:val="20"/>
        </w:rPr>
      </w:pPr>
    </w:p>
    <w:p w:rsidR="00621458" w:rsidRPr="00D60728" w:rsidRDefault="00621458" w:rsidP="00BF7DCC">
      <w:pPr>
        <w:spacing w:line="240" w:lineRule="auto"/>
        <w:rPr>
          <w:sz w:val="20"/>
          <w:szCs w:val="20"/>
        </w:rPr>
      </w:pPr>
    </w:p>
    <w:p w:rsidR="00621458" w:rsidRPr="00D60728" w:rsidRDefault="00621458" w:rsidP="00BF7DCC">
      <w:pPr>
        <w:pStyle w:val="Caption"/>
        <w:keepNext/>
        <w:spacing w:after="0" w:line="240" w:lineRule="auto"/>
        <w:rPr>
          <w:sz w:val="20"/>
          <w:szCs w:val="20"/>
        </w:rPr>
      </w:pPr>
    </w:p>
    <w:p w:rsidR="00857525" w:rsidRPr="00D60728" w:rsidRDefault="00857525" w:rsidP="00BF7DCC">
      <w:pPr>
        <w:spacing w:line="240" w:lineRule="auto"/>
        <w:rPr>
          <w:sz w:val="20"/>
          <w:szCs w:val="20"/>
        </w:rPr>
      </w:pPr>
      <w:r w:rsidRPr="00D60728">
        <w:rPr>
          <w:sz w:val="20"/>
          <w:szCs w:val="20"/>
        </w:rPr>
        <w:br w:type="page"/>
      </w:r>
    </w:p>
    <w:tbl>
      <w:tblPr>
        <w:tblStyle w:val="TableGrid"/>
        <w:tblW w:w="9175" w:type="dxa"/>
        <w:tblLayout w:type="fixed"/>
        <w:tblLook w:val="04A0" w:firstRow="1" w:lastRow="0" w:firstColumn="1" w:lastColumn="0" w:noHBand="0" w:noVBand="1"/>
      </w:tblPr>
      <w:tblGrid>
        <w:gridCol w:w="1129"/>
        <w:gridCol w:w="1418"/>
        <w:gridCol w:w="6628"/>
      </w:tblGrid>
      <w:tr w:rsidR="00621458" w:rsidRPr="00723C4A" w:rsidTr="00857525">
        <w:trPr>
          <w:trHeight w:val="454"/>
        </w:trPr>
        <w:tc>
          <w:tcPr>
            <w:tcW w:w="2547" w:type="dxa"/>
            <w:gridSpan w:val="2"/>
            <w:shd w:val="clear" w:color="auto" w:fill="D9D9D9" w:themeFill="background1" w:themeFillShade="D9"/>
            <w:vAlign w:val="center"/>
            <w:hideMark/>
          </w:tcPr>
          <w:p w:rsidR="00621458" w:rsidRPr="00723C4A" w:rsidRDefault="00621458" w:rsidP="00BF7DCC">
            <w:pPr>
              <w:spacing w:line="240" w:lineRule="auto"/>
              <w:ind w:right="57"/>
              <w:jc w:val="left"/>
              <w:rPr>
                <w:rFonts w:ascii="Times New Roman" w:hAnsi="Times New Roman"/>
                <w:b/>
                <w:iCs/>
              </w:rPr>
            </w:pPr>
            <w:r w:rsidRPr="00723C4A">
              <w:rPr>
                <w:rFonts w:ascii="Times New Roman" w:hAnsi="Times New Roman"/>
                <w:b/>
                <w:iCs/>
              </w:rPr>
              <w:lastRenderedPageBreak/>
              <w:t>Naziv mjere</w:t>
            </w:r>
          </w:p>
        </w:tc>
        <w:tc>
          <w:tcPr>
            <w:tcW w:w="6628" w:type="dxa"/>
            <w:shd w:val="clear" w:color="auto" w:fill="D9D9D9" w:themeFill="background1" w:themeFillShade="D9"/>
            <w:vAlign w:val="center"/>
          </w:tcPr>
          <w:p w:rsidR="00621458" w:rsidRPr="00723C4A" w:rsidRDefault="00621458" w:rsidP="00BF7DCC">
            <w:pPr>
              <w:spacing w:line="240" w:lineRule="auto"/>
              <w:ind w:right="57"/>
              <w:rPr>
                <w:rFonts w:ascii="Times New Roman" w:hAnsi="Times New Roman"/>
                <w:b/>
                <w:i/>
                <w:iCs/>
              </w:rPr>
            </w:pPr>
            <w:r w:rsidRPr="00723C4A">
              <w:rPr>
                <w:rFonts w:ascii="Times New Roman" w:hAnsi="Times New Roman"/>
                <w:b/>
                <w:i/>
                <w:iCs/>
              </w:rPr>
              <w:t>Izgradnja kapaciteta za poticanje istraživanja i inovacija te povećanje konkurentnosti u području niskougljičnog gospodarstva</w:t>
            </w:r>
          </w:p>
        </w:tc>
      </w:tr>
      <w:tr w:rsidR="00621458" w:rsidRPr="00D60728" w:rsidTr="00857525">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MCC-22</w:t>
            </w:r>
          </w:p>
        </w:tc>
      </w:tr>
      <w:tr w:rsidR="00621458" w:rsidRPr="00D60728" w:rsidTr="00857525">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Informativna mjera</w:t>
            </w:r>
          </w:p>
        </w:tc>
      </w:tr>
      <w:tr w:rsidR="00621458" w:rsidRPr="00D60728" w:rsidTr="00857525">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621458" w:rsidRPr="00D60728" w:rsidTr="00857525">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857525" w:rsidRPr="00D60728">
              <w:rPr>
                <w:rFonts w:ascii="Times New Roman" w:hAnsi="Times New Roman"/>
                <w:i/>
                <w:iCs/>
                <w:sz w:val="20"/>
                <w:szCs w:val="20"/>
              </w:rPr>
              <w:t>24</w:t>
            </w:r>
            <w:r w:rsidRPr="00D60728">
              <w:rPr>
                <w:rFonts w:ascii="Times New Roman" w:hAnsi="Times New Roman"/>
                <w:i/>
                <w:iCs/>
                <w:sz w:val="20"/>
                <w:szCs w:val="20"/>
              </w:rPr>
              <w:t>.</w:t>
            </w:r>
          </w:p>
        </w:tc>
      </w:tr>
      <w:tr w:rsidR="00621458" w:rsidRPr="00D60728" w:rsidTr="00B609B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auto"/>
            <w:vAlign w:val="center"/>
          </w:tcPr>
          <w:p w:rsidR="00621458" w:rsidRPr="00D60728" w:rsidRDefault="00B609B7"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Izgradnja kapaciteta institucija uključenih u poticanje i praćenje istraživanja, inovacija i konkurentnosti na području niskougljičnog gospodarstva</w:t>
            </w:r>
          </w:p>
        </w:tc>
      </w:tr>
      <w:tr w:rsidR="00B609B7" w:rsidRPr="00D60728" w:rsidTr="00B609B7">
        <w:trPr>
          <w:trHeight w:val="787"/>
        </w:trPr>
        <w:tc>
          <w:tcPr>
            <w:tcW w:w="1129" w:type="dxa"/>
            <w:vMerge/>
            <w:vAlign w:val="center"/>
          </w:tcPr>
          <w:p w:rsidR="00B609B7" w:rsidRPr="00D60728" w:rsidRDefault="00B609B7" w:rsidP="00BF7DCC">
            <w:pPr>
              <w:spacing w:line="240" w:lineRule="auto"/>
              <w:jc w:val="left"/>
              <w:rPr>
                <w:rFonts w:ascii="Times New Roman" w:hAnsi="Times New Roman"/>
                <w:sz w:val="20"/>
                <w:szCs w:val="20"/>
              </w:rPr>
            </w:pPr>
          </w:p>
        </w:tc>
        <w:tc>
          <w:tcPr>
            <w:tcW w:w="1418" w:type="dxa"/>
            <w:vAlign w:val="center"/>
          </w:tcPr>
          <w:p w:rsidR="00B609B7" w:rsidRPr="00D60728" w:rsidRDefault="00B609B7"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B609B7" w:rsidRPr="00D60728" w:rsidRDefault="00B609B7" w:rsidP="00BF7DCC">
            <w:pPr>
              <w:spacing w:line="240" w:lineRule="auto"/>
              <w:rPr>
                <w:rFonts w:ascii="Times New Roman" w:hAnsi="Times New Roman"/>
                <w:i/>
                <w:iCs/>
                <w:sz w:val="20"/>
                <w:szCs w:val="20"/>
              </w:rPr>
            </w:pPr>
            <w:r w:rsidRPr="00D60728">
              <w:rPr>
                <w:rFonts w:ascii="Times New Roman" w:hAnsi="Times New Roman"/>
                <w:i/>
                <w:iCs/>
                <w:sz w:val="20"/>
                <w:szCs w:val="20"/>
              </w:rPr>
              <w:t>Izgradit će se kapaciteti institucija uključenih u poticanje i praćenje istraživanja, inovacija i konkurentnosti na području niskougljičnog gospodarstva</w:t>
            </w:r>
          </w:p>
        </w:tc>
      </w:tr>
      <w:tr w:rsidR="00621458" w:rsidRPr="00D60728" w:rsidTr="00857525">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ListParagraph"/>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Za predstavnike svih tijela uključenih u provedbu mjera MCC 17 – 21 davat će se potpora za sudjelovanje na predavanjima, radionicama, sastancima radnih skupina, studijskim putovanjima s ciljem međunarodnog povezivanja i izgradnje kapaciteta u zadavanju ciljeva, definiranju indikatora te praćenju ostvarivanja zadanih ciljeva u kontekstu istraživanja, inovacija i konkurentnosti na području niskougljičnog gospodarstva. Davanje potpore za sudjelovanje u radnim tijelima i radnim skupinama te odborima relevantnih europskih i međunarodnih organizacija (IEA idr.), programa (SET Plan, ETIP, EERA, Obzor 2020 LIFE, Eureka, idr.), Europskim partnerstvima u okviru Okvirnog programa EU za istraživanje i inovacije i u relevantnim pan-europskim mrežama i konzorcijima. Po potrebi, organizirat će se prijenos znanja i iskustava s drugim državama članicama EU te na druge dionike unutar RH. </w:t>
            </w:r>
          </w:p>
          <w:p w:rsidR="00621458" w:rsidRPr="00D60728" w:rsidRDefault="00621458" w:rsidP="00BF7DCC">
            <w:pPr>
              <w:pStyle w:val="ListParagraph"/>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Ovom aktivnošću sufinancirat će se i sudjelovanja znanstvenih organizacija u javno-javnim i javno-privatnim partnerstvima unutar okvirnog programa za istraživanje i tehnološki razvoj te s relevantnim pan-europskim istraživačkim mrežama i konzorcijima u području niskougljičnog gospodarstva.</w:t>
            </w:r>
          </w:p>
        </w:tc>
      </w:tr>
      <w:tr w:rsidR="00DE6E7F" w:rsidRPr="00D60728" w:rsidTr="00853EA3">
        <w:trPr>
          <w:trHeight w:val="918"/>
        </w:trPr>
        <w:tc>
          <w:tcPr>
            <w:tcW w:w="1129" w:type="dxa"/>
            <w:vMerge/>
            <w:vAlign w:val="center"/>
            <w:hideMark/>
          </w:tcPr>
          <w:p w:rsidR="00DE6E7F" w:rsidRPr="00D60728" w:rsidRDefault="00DE6E7F" w:rsidP="00BF7DCC">
            <w:pPr>
              <w:spacing w:line="240" w:lineRule="auto"/>
              <w:jc w:val="left"/>
              <w:rPr>
                <w:rFonts w:ascii="Times New Roman" w:hAnsi="Times New Roman"/>
                <w:sz w:val="20"/>
                <w:szCs w:val="20"/>
              </w:rPr>
            </w:pPr>
          </w:p>
        </w:tc>
        <w:tc>
          <w:tcPr>
            <w:tcW w:w="1418" w:type="dxa"/>
            <w:vAlign w:val="center"/>
            <w:hideMark/>
          </w:tcPr>
          <w:p w:rsidR="00DE6E7F" w:rsidRPr="00D60728" w:rsidRDefault="00DE6E7F"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DE6E7F" w:rsidRPr="00D60728" w:rsidRDefault="00DE6E7F" w:rsidP="00BF7DCC">
            <w:pPr>
              <w:spacing w:line="240" w:lineRule="auto"/>
              <w:rPr>
                <w:rFonts w:ascii="Times New Roman" w:hAnsi="Times New Roman"/>
                <w:i/>
                <w:iCs/>
                <w:sz w:val="20"/>
                <w:szCs w:val="20"/>
              </w:rPr>
            </w:pPr>
            <w:r w:rsidRPr="00D60728">
              <w:rPr>
                <w:rFonts w:ascii="Times New Roman" w:hAnsi="Times New Roman"/>
                <w:i/>
                <w:iCs/>
                <w:sz w:val="20"/>
                <w:szCs w:val="20"/>
              </w:rPr>
              <w:t>HAMAG-BICRO</w:t>
            </w:r>
          </w:p>
          <w:p w:rsidR="00DE6E7F" w:rsidRPr="00D60728" w:rsidRDefault="00DE6E7F" w:rsidP="00BF7DCC">
            <w:pPr>
              <w:spacing w:line="240" w:lineRule="auto"/>
              <w:rPr>
                <w:rFonts w:ascii="Times New Roman" w:hAnsi="Times New Roman"/>
                <w:i/>
                <w:iCs/>
                <w:sz w:val="20"/>
                <w:szCs w:val="20"/>
              </w:rPr>
            </w:pPr>
            <w:r w:rsidRPr="00D60728">
              <w:rPr>
                <w:rFonts w:ascii="Times New Roman" w:hAnsi="Times New Roman"/>
                <w:i/>
                <w:iCs/>
                <w:sz w:val="20"/>
                <w:szCs w:val="20"/>
              </w:rPr>
              <w:t>MZO</w:t>
            </w:r>
          </w:p>
          <w:p w:rsidR="00DE6E7F" w:rsidRPr="00D60728" w:rsidRDefault="00DE6E7F" w:rsidP="00BF7DCC">
            <w:pPr>
              <w:spacing w:line="240" w:lineRule="auto"/>
              <w:rPr>
                <w:rFonts w:ascii="Times New Roman" w:hAnsi="Times New Roman"/>
                <w:i/>
                <w:iCs/>
                <w:sz w:val="20"/>
                <w:szCs w:val="20"/>
              </w:rPr>
            </w:pPr>
            <w:r w:rsidRPr="00D60728">
              <w:rPr>
                <w:rFonts w:ascii="Times New Roman" w:hAnsi="Times New Roman"/>
                <w:i/>
                <w:iCs/>
                <w:sz w:val="20"/>
                <w:szCs w:val="20"/>
              </w:rPr>
              <w:t>MGP</w:t>
            </w:r>
            <w:r w:rsidR="00CA0150" w:rsidRPr="00D60728">
              <w:rPr>
                <w:rFonts w:ascii="Times New Roman" w:hAnsi="Times New Roman"/>
                <w:i/>
                <w:iCs/>
                <w:sz w:val="20"/>
                <w:szCs w:val="20"/>
              </w:rPr>
              <w:t>O</w:t>
            </w:r>
          </w:p>
        </w:tc>
      </w:tr>
      <w:tr w:rsidR="00621458" w:rsidRPr="00D60728" w:rsidTr="00857525">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50 milijuna kn/god</w:t>
            </w:r>
          </w:p>
          <w:p w:rsidR="00621458" w:rsidRPr="00D60728" w:rsidRDefault="00621458" w:rsidP="00BF7DCC">
            <w:pPr>
              <w:pStyle w:val="ListParagraph"/>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tehnička pomoć, sredstva od prodaje emisijskih jedinica na dražbi (FZOEU), ESI fondovi</w:t>
            </w:r>
          </w:p>
        </w:tc>
      </w:tr>
      <w:tr w:rsidR="00DE6E7F" w:rsidRPr="00D60728" w:rsidTr="00DE6E7F">
        <w:trPr>
          <w:trHeight w:val="895"/>
        </w:trPr>
        <w:tc>
          <w:tcPr>
            <w:tcW w:w="1129" w:type="dxa"/>
            <w:vMerge w:val="restart"/>
            <w:vAlign w:val="center"/>
            <w:hideMark/>
          </w:tcPr>
          <w:p w:rsidR="00DE6E7F" w:rsidRPr="00D60728" w:rsidRDefault="00DE6E7F"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DE6E7F" w:rsidRPr="00D60728" w:rsidRDefault="00DE6E7F"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DE6E7F" w:rsidRPr="00D60728" w:rsidRDefault="00DE6E7F" w:rsidP="00BF7DCC">
            <w:pPr>
              <w:pStyle w:val="ListParagraph"/>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Izgrađeni kapaciteti u tijelima zaduženima poticanje istraživanja, inovacija i konkurentnosti na području niskougljičnih tehnologija</w:t>
            </w:r>
          </w:p>
        </w:tc>
      </w:tr>
      <w:tr w:rsidR="00857525" w:rsidRPr="00D60728" w:rsidTr="00DE6E7F">
        <w:trPr>
          <w:trHeight w:val="1078"/>
        </w:trPr>
        <w:tc>
          <w:tcPr>
            <w:tcW w:w="1129" w:type="dxa"/>
            <w:vMerge/>
            <w:vAlign w:val="center"/>
            <w:hideMark/>
          </w:tcPr>
          <w:p w:rsidR="00857525" w:rsidRPr="00D60728" w:rsidRDefault="00857525" w:rsidP="00BF7DCC">
            <w:pPr>
              <w:spacing w:line="240" w:lineRule="auto"/>
              <w:jc w:val="left"/>
              <w:rPr>
                <w:rFonts w:ascii="Times New Roman" w:hAnsi="Times New Roman"/>
                <w:sz w:val="20"/>
                <w:szCs w:val="20"/>
              </w:rPr>
            </w:pPr>
          </w:p>
        </w:tc>
        <w:tc>
          <w:tcPr>
            <w:tcW w:w="1418" w:type="dxa"/>
            <w:vAlign w:val="center"/>
          </w:tcPr>
          <w:p w:rsidR="00857525" w:rsidRPr="00D60728" w:rsidRDefault="00857525"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857525" w:rsidRPr="00D60728" w:rsidRDefault="00857525" w:rsidP="00BF7DCC">
            <w:pPr>
              <w:pStyle w:val="ListParagraph"/>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Izvješća Povjerenstvu za međusektorsku koordinaciju za politiku i mjere za ublaživanje i prilagodbu klimatskim promjenama</w:t>
            </w:r>
          </w:p>
        </w:tc>
      </w:tr>
    </w:tbl>
    <w:p w:rsidR="00621458" w:rsidRPr="00D60728" w:rsidRDefault="00621458" w:rsidP="00BF7DCC">
      <w:pPr>
        <w:spacing w:line="240" w:lineRule="auto"/>
        <w:rPr>
          <w:sz w:val="20"/>
          <w:szCs w:val="20"/>
        </w:rPr>
      </w:pPr>
    </w:p>
    <w:p w:rsidR="002D5E59" w:rsidRPr="00D60728" w:rsidRDefault="002D5E59" w:rsidP="00BF7DCC">
      <w:pPr>
        <w:spacing w:line="240" w:lineRule="auto"/>
        <w:jc w:val="left"/>
        <w:rPr>
          <w:b/>
          <w:bCs/>
          <w:kern w:val="32"/>
          <w:sz w:val="20"/>
          <w:szCs w:val="20"/>
        </w:rPr>
      </w:pPr>
      <w:bookmarkStart w:id="40" w:name="_Toc24632364"/>
      <w:bookmarkStart w:id="41" w:name="_Toc24634714"/>
      <w:bookmarkStart w:id="42" w:name="_Toc24702454"/>
      <w:r w:rsidRPr="00D60728">
        <w:rPr>
          <w:sz w:val="20"/>
          <w:szCs w:val="20"/>
        </w:rPr>
        <w:br w:type="page"/>
      </w:r>
    </w:p>
    <w:p w:rsidR="00485467" w:rsidRPr="00D60728" w:rsidRDefault="00485467" w:rsidP="00723C4A">
      <w:pPr>
        <w:pStyle w:val="Heading1"/>
        <w:spacing w:after="0" w:line="240" w:lineRule="auto"/>
        <w:ind w:left="567" w:hanging="567"/>
        <w:jc w:val="left"/>
        <w:rPr>
          <w:rFonts w:cs="Times New Roman"/>
        </w:rPr>
      </w:pPr>
      <w:bookmarkStart w:id="43" w:name="_Toc34147576"/>
      <w:r w:rsidRPr="00D60728">
        <w:rPr>
          <w:rFonts w:cs="Times New Roman"/>
        </w:rPr>
        <w:lastRenderedPageBreak/>
        <w:t>4.</w:t>
      </w:r>
      <w:r w:rsidR="000D2C3F" w:rsidRPr="00D60728">
        <w:rPr>
          <w:rFonts w:cs="Times New Roman"/>
        </w:rPr>
        <w:t xml:space="preserve"> </w:t>
      </w:r>
      <w:r w:rsidR="00723C4A">
        <w:rPr>
          <w:rFonts w:cs="Times New Roman"/>
        </w:rPr>
        <w:tab/>
      </w:r>
      <w:r w:rsidRPr="00D60728">
        <w:rPr>
          <w:rFonts w:cs="Times New Roman"/>
        </w:rPr>
        <w:t>INSTITUCIONALNI OKVIR ZA PROVEDBU NISKOUGLJIČNE STRATEGIJE</w:t>
      </w:r>
      <w:bookmarkEnd w:id="40"/>
      <w:bookmarkEnd w:id="41"/>
      <w:bookmarkEnd w:id="42"/>
      <w:bookmarkEnd w:id="43"/>
    </w:p>
    <w:p w:rsidR="00723C4A" w:rsidRDefault="00723C4A" w:rsidP="00BF7DCC">
      <w:pPr>
        <w:spacing w:line="240" w:lineRule="auto"/>
      </w:pPr>
    </w:p>
    <w:p w:rsidR="006A120F" w:rsidRPr="00D60728" w:rsidRDefault="006A120F" w:rsidP="00BF7DCC">
      <w:pPr>
        <w:spacing w:line="240" w:lineRule="auto"/>
      </w:pPr>
      <w:r w:rsidRPr="00D60728">
        <w:t xml:space="preserve">Nadležnost za energetiku i politike klime je u Ministarstvu zaštite okoliša i energetike (MZOE). U MZOE za područje klime zadužena je Uprava za klimatske aktivnosti, održivi razvoj i zaštitu zraka, tla i mora, a za energetiku Uprava za energetiku. </w:t>
      </w:r>
    </w:p>
    <w:p w:rsidR="006A120F" w:rsidRPr="00D60728" w:rsidRDefault="006A120F" w:rsidP="00BF7DCC">
      <w:pPr>
        <w:spacing w:line="240" w:lineRule="auto"/>
      </w:pPr>
    </w:p>
    <w:p w:rsidR="006A120F" w:rsidRPr="00D60728" w:rsidRDefault="006A120F" w:rsidP="00BF7DCC">
      <w:pPr>
        <w:spacing w:line="240" w:lineRule="auto"/>
      </w:pPr>
      <w:r w:rsidRPr="00D60728">
        <w:t xml:space="preserve">MZOE provodi poslove organizacije </w:t>
      </w:r>
      <w:r w:rsidRPr="00D60728">
        <w:rPr>
          <w:color w:val="000000"/>
        </w:rPr>
        <w:t>izrade inventara stakleničkih plinova, izvješća o provedbi politike i mjera za smanjenje emisija i povećanje odliva stakleničkih plinova i izvješća o projekcijama emisija stakleničkih plinova po izvorima i njihovo uklanjanje odlivima</w:t>
      </w:r>
      <w:r w:rsidRPr="00D60728">
        <w:t xml:space="preserve">; priprema </w:t>
      </w:r>
      <w:r w:rsidRPr="00D60728">
        <w:rPr>
          <w:color w:val="000000"/>
        </w:rPr>
        <w:t>podatke o količinama verificiranih emisija stakleničkih plinova iz postrojenja obuhvaćenih sustavom trgovanja emisijskim jedinicama; provodi kontrolne preglede dosljednosti podataka o djelatnostima i emisijama stakleničkih i indirektnih stakleničkih plinova usporedbom s verificiranim emisijama; izvješćuje o izdavanju, držanju na računu, prijenosu, primanju, poništavanju i povlačenju jedinica smanjenja emisija, jedinica ovjerenog smanjenja emisija, jedinica dodijeljene kvote i jedinica uklanjanja i prijenosa u iduće obvezujuće razdoblje, iz Registra Unije;</w:t>
      </w:r>
      <w:r w:rsidRPr="00D60728">
        <w:t xml:space="preserve"> </w:t>
      </w:r>
      <w:r w:rsidRPr="00D60728">
        <w:rPr>
          <w:color w:val="000000"/>
        </w:rPr>
        <w:t>provodi evidenciju i izvješćivanje o ovlaštenim pravnim osobama koje sudjeluju u trgovanju emisijama, mjerama zajedničkog ulaganja i mjerama čistog razvoja.</w:t>
      </w:r>
    </w:p>
    <w:p w:rsidR="006A120F" w:rsidRPr="00D60728" w:rsidRDefault="006A120F" w:rsidP="00BF7DCC">
      <w:pPr>
        <w:spacing w:line="240" w:lineRule="auto"/>
      </w:pPr>
    </w:p>
    <w:p w:rsidR="006A120F" w:rsidRPr="00D60728" w:rsidRDefault="006A120F" w:rsidP="00BF7DCC">
      <w:pPr>
        <w:spacing w:line="240" w:lineRule="auto"/>
      </w:pPr>
      <w:r w:rsidRPr="00D60728">
        <w:t xml:space="preserve">Djelatnost Fonda za zaštitu okoliša i energetsku učinkovitost (FZOEU) obuhvaća poslove u svezi s financiranjem pripreme, provedbe i razvoja programa, projekata i aktivnosti u području očuvanja, održivog korištenja, zaštite i unaprjeđivanja okoliša te u području energetske učinkovitosti i korištenja obnovljivih izvora energije; posredovanje u svezi s financiranjem zaštite okoliša i energetske učinkovitosti iz sredstava stranih država, međunarodnih organizacija, financijskih institucija i tijela te domaćih i stranih pravnih i fizičkih osoba; vodi bazu podataka o programima i projektima u području zaštite okoliša i energetske učinkovitosti te potrebnim i raspoloživim financijskim sredstvima za njihovo ostvarivanje; potiče, uspostavlja i ostvaruje suradnju s međunarodnim i domaćim financijskim institucijama i drugim pravnim i fizičkim osobama radi financiranja zaštite okoliša i energetske učinkovitosti u skladu s Nacionalnom strategijom zaštite okoliša i Nacionalnim planom djelovanja za okoliš, Strategijom energetskog razvitka i Programom provedbe Strategije energetskog razvitka, nacionalnim energetskim programima i drugim programima u području zaštite okoliša i energetske učinkovitosti te međunarodnim ugovorima čija je stranka Republika Hrvatska. </w:t>
      </w:r>
    </w:p>
    <w:p w:rsidR="006A120F" w:rsidRPr="00D60728" w:rsidRDefault="006A120F" w:rsidP="00BF7DCC">
      <w:pPr>
        <w:spacing w:line="240" w:lineRule="auto"/>
      </w:pPr>
    </w:p>
    <w:p w:rsidR="006A120F" w:rsidRPr="00D60728" w:rsidRDefault="006A120F" w:rsidP="00BF7DCC">
      <w:pPr>
        <w:spacing w:line="240" w:lineRule="auto"/>
      </w:pPr>
      <w:r w:rsidRPr="00D60728">
        <w:t xml:space="preserve">Kako bi se unaprijedila međusektorska suradnja, osnovana su dva povjerenstva: </w:t>
      </w:r>
    </w:p>
    <w:p w:rsidR="006A120F" w:rsidRPr="00D60728" w:rsidRDefault="006A120F" w:rsidP="00BF7DCC">
      <w:pPr>
        <w:spacing w:line="240" w:lineRule="auto"/>
      </w:pPr>
    </w:p>
    <w:p w:rsidR="006A120F" w:rsidRPr="00D60728" w:rsidRDefault="006A120F" w:rsidP="00BF7DCC">
      <w:pPr>
        <w:pStyle w:val="ListParagraph"/>
        <w:numPr>
          <w:ilvl w:val="0"/>
          <w:numId w:val="31"/>
        </w:numPr>
        <w:spacing w:line="240" w:lineRule="auto"/>
      </w:pPr>
      <w:r w:rsidRPr="00D60728">
        <w:t xml:space="preserve">Povjerenstvo za međusektorsku koordinaciju za nacionalni sustav za praćenje emisija stakleničkih plinova i </w:t>
      </w:r>
    </w:p>
    <w:p w:rsidR="006A120F" w:rsidRPr="00D60728" w:rsidRDefault="006A120F" w:rsidP="00BF7DCC">
      <w:pPr>
        <w:pStyle w:val="ListParagraph"/>
        <w:numPr>
          <w:ilvl w:val="0"/>
          <w:numId w:val="31"/>
        </w:numPr>
        <w:spacing w:line="240" w:lineRule="auto"/>
      </w:pPr>
      <w:r w:rsidRPr="00D60728">
        <w:t>Povjerenstvo za međusektorsku koordinaciju za politiku i mjere za ublažavanje i prilagodbu klimatskim promjenama.</w:t>
      </w:r>
    </w:p>
    <w:p w:rsidR="006A120F" w:rsidRPr="00D60728" w:rsidRDefault="006A120F" w:rsidP="00BF7DCC">
      <w:pPr>
        <w:spacing w:line="240" w:lineRule="auto"/>
        <w:rPr>
          <w:rFonts w:eastAsia="Times New Roman"/>
          <w:lang w:eastAsia="hr-HR"/>
        </w:rPr>
      </w:pPr>
    </w:p>
    <w:p w:rsidR="006A120F" w:rsidRPr="00D60728" w:rsidRDefault="006A120F" w:rsidP="00BF7DCC">
      <w:pPr>
        <w:spacing w:line="240" w:lineRule="auto"/>
      </w:pPr>
      <w:r w:rsidRPr="00D60728">
        <w:t xml:space="preserve">Rad Povjerenstva za međusektorsku koordinaciju za politiku i mjere za ublažavanje i prilagodbu klimatskim promjenama provodi se kroz rad Koordinacijske skupine i Tehničke radne skupine. Koordinacijska skupina, na temelju mišljenja i prijedloga Tehničke radne skupine, daje preporuke Vladi Republike Hrvatske o sveukupnoj politici i mjerama za ublažavanje i prilagodbu klimatskim promjenama; osigurava podršku u provođenju politike i mjera za ublažavanje i prilagodbu klimatskim promjenama te ocjenjuje i predlaže Vladi </w:t>
      </w:r>
      <w:r w:rsidRPr="00D60728">
        <w:lastRenderedPageBreak/>
        <w:t xml:space="preserve">donošenje strateških dokumenata koji se odnose na politiku i mjere za ublažavanje i prilagodbu klimatskim promjenama. </w:t>
      </w:r>
    </w:p>
    <w:p w:rsidR="006A120F" w:rsidRPr="00D60728" w:rsidRDefault="006A120F" w:rsidP="00BF7DCC">
      <w:pPr>
        <w:spacing w:line="240" w:lineRule="auto"/>
      </w:pPr>
    </w:p>
    <w:p w:rsidR="006A120F" w:rsidRPr="00D60728" w:rsidRDefault="006A120F" w:rsidP="00BF7DCC">
      <w:pPr>
        <w:spacing w:line="240" w:lineRule="auto"/>
      </w:pPr>
      <w:r w:rsidRPr="00D60728">
        <w:t xml:space="preserve">Osnivanje oba Povjerenstva doprinijelo je velikom napretku, poboljšan je protok informacija i sektorska uključenost u odlučivanje te je podignuta razina znanja. Međutim, još uvijek nije postignuto povratno djelovanje, a to je da se u pojedinim sektorima pitanja klime uključuju u planiranje i provedbene politike. </w:t>
      </w:r>
    </w:p>
    <w:p w:rsidR="006A120F" w:rsidRPr="00D60728" w:rsidRDefault="006A120F" w:rsidP="00BF7DCC">
      <w:pPr>
        <w:spacing w:line="240" w:lineRule="auto"/>
      </w:pPr>
    </w:p>
    <w:p w:rsidR="006A120F" w:rsidRPr="00D60728" w:rsidRDefault="006A120F" w:rsidP="00BF7DCC">
      <w:pPr>
        <w:spacing w:line="240" w:lineRule="auto"/>
      </w:pPr>
      <w:r w:rsidRPr="00D60728">
        <w:t>Za provođenje Niskougljične strategije potrebno je osigurati snažnije mehanizme za horizontalno djelovanje. MZOE planira mjere čije je provođenje u nadležnosti drugih sektorskih ministarstava, a takav pristup ima puno izazova. Sektori nemaju dovoljno razvijene kapacitete za rad na aktivnostima vezanima uz klimatske promjene, a isto tako još ne raspoznaju dostatno sinergijski učinak politike i mjera za ublažavanje i prilagodbu klimatskim promjenama. Pojedina pitanja vrlo su složena i mali broj stručnjaka ima potrebnu kompetenciju pa se ne može očekivati brzi napredak u institucijama nadležnima za sektore. Primjerice, pitanja korištenja zemljišta, promjena u korištenju zemljišta i šumarstva (LULUCF) dodiruju se poljoprivrede, šumarstva, otpada, gospodarstva, prostornog planiranja i zaštite okoliša. Optimum i održivo korištenje biomase više nije samo pitanje šumarstva i energetike. Kako Hrvatska ima cilj ostvarivati odlive uslijed vezivanja ugljika u biomasu, neophodna je suradnja svih sektora. U protivnom, korištenje biomase neće se računati kao obnovljivi izvor energije koji je CO</w:t>
      </w:r>
      <w:r w:rsidRPr="00D60728">
        <w:rPr>
          <w:vertAlign w:val="subscript"/>
        </w:rPr>
        <w:t>2</w:t>
      </w:r>
      <w:r w:rsidRPr="00D60728">
        <w:t xml:space="preserve"> neutralan. Potrebno će biti mijenjati pravni okvir u svim ovim sektorima, uz međusektorska usklađivanja. </w:t>
      </w:r>
    </w:p>
    <w:p w:rsidR="006A120F" w:rsidRPr="00D60728" w:rsidRDefault="006A120F" w:rsidP="00BF7DCC">
      <w:pPr>
        <w:spacing w:line="240" w:lineRule="auto"/>
        <w:rPr>
          <w:u w:val="single"/>
        </w:rPr>
      </w:pPr>
    </w:p>
    <w:p w:rsidR="006A120F" w:rsidRPr="00D60728" w:rsidRDefault="006A120F" w:rsidP="00BF7DCC">
      <w:pPr>
        <w:spacing w:line="240" w:lineRule="auto"/>
      </w:pPr>
      <w:r w:rsidRPr="00D60728">
        <w:rPr>
          <w:b/>
        </w:rPr>
        <w:t>Niskougljična strategija predlaže jedan korak osnaženja instrumenata za međusektorsko djelovanje, a to je osiguranje centralne koordinacijske funkcije za održivi razvoj i klimatske aktivnosti pri Vladi Republike Hrvatske.</w:t>
      </w:r>
      <w:r w:rsidRPr="00D60728">
        <w:t xml:space="preserve"> Osnivanje centralne koordinacijske funkcije može snažno pomoći učinkovitom provođenju aktivnosti ublažavanja i prilagodbe klimatskim promjenama, a s obzirom na ciljeve koji se odnose na rast gospodarstva i zapošljavanje omogućuje Vladi direktan uvid i nadzor nad prioritetnim ciljevima države. </w:t>
      </w:r>
    </w:p>
    <w:p w:rsidR="006A120F" w:rsidRPr="00D60728" w:rsidRDefault="006A120F" w:rsidP="00BF7DCC">
      <w:pPr>
        <w:spacing w:line="240" w:lineRule="auto"/>
      </w:pPr>
    </w:p>
    <w:p w:rsidR="006A120F" w:rsidRPr="00D60728" w:rsidRDefault="006A120F" w:rsidP="00BF7DCC">
      <w:pPr>
        <w:spacing w:line="240" w:lineRule="auto"/>
      </w:pPr>
      <w:r w:rsidRPr="00D60728">
        <w:t xml:space="preserve">Osim uvođenja centralne koordinacijske funkcije ostale komponente institucionalne organizacije za provođenje Niskougljične strategije ostaju iste kao danas. U svim institucijama (nadležnim ministarstvima) potrebno je osnažiti kapacitete. </w:t>
      </w:r>
    </w:p>
    <w:p w:rsidR="006A120F" w:rsidRPr="00D60728" w:rsidRDefault="006A120F" w:rsidP="00BF7DCC">
      <w:pPr>
        <w:spacing w:line="240" w:lineRule="auto"/>
        <w:rPr>
          <w:b/>
        </w:rPr>
      </w:pPr>
    </w:p>
    <w:p w:rsidR="006A120F" w:rsidRPr="00D60728" w:rsidRDefault="006A120F" w:rsidP="00BF7DCC">
      <w:pPr>
        <w:spacing w:line="240" w:lineRule="auto"/>
      </w:pPr>
      <w:r w:rsidRPr="00D60728">
        <w:t xml:space="preserve">Dio zaduženja i ovlasti, treba locirati u institucije države koje već imaju razvijene kapacitete, koje će lako prihvatiti nove funkcije i koje stvaraju sinergiju sa svojim postojećim poslovima. Državne agencije i institucije trebaju raspoznati priliku za razvoj, konkurirati za vođenje pojedinih segmenata ove strategije i plana provedbe. Radna mjesta koja su postala nepotrebna treba usmjeriti na nove poslove koji nudi ova strategija u administrativnom smislu. </w:t>
      </w:r>
    </w:p>
    <w:p w:rsidR="006A120F" w:rsidRPr="00D60728" w:rsidRDefault="006A120F" w:rsidP="00BF7DCC">
      <w:pPr>
        <w:spacing w:line="240" w:lineRule="auto"/>
        <w:rPr>
          <w:b/>
        </w:rPr>
      </w:pPr>
    </w:p>
    <w:p w:rsidR="006A120F" w:rsidRPr="00D60728" w:rsidRDefault="006A120F" w:rsidP="00BF7DCC">
      <w:pPr>
        <w:spacing w:line="240" w:lineRule="auto"/>
      </w:pPr>
      <w:r w:rsidRPr="00D60728">
        <w:t xml:space="preserve">Javno privatno partnerstvo treba poticati u nalaženju troškovno učinkovitih i održivih rješenja. Ono se odnosi na sve segmente sustava, a posebice na pripremu i provođenje projekata. Treba poticati osnivanje klastera, centara izvornosti i razvoj novih modela udruživanja, javnog, privatnog i znanstvenog sektora, kao i inovativnih oblika udruživanja.       </w:t>
      </w:r>
    </w:p>
    <w:p w:rsidR="006A120F" w:rsidRPr="00D60728" w:rsidRDefault="006A120F" w:rsidP="00BF7DCC">
      <w:pPr>
        <w:spacing w:line="240" w:lineRule="auto"/>
      </w:pPr>
    </w:p>
    <w:p w:rsidR="006A120F" w:rsidRPr="00D60728" w:rsidRDefault="006A120F" w:rsidP="00BF7DCC">
      <w:pPr>
        <w:spacing w:line="240" w:lineRule="auto"/>
      </w:pPr>
      <w:r w:rsidRPr="00D60728">
        <w:t xml:space="preserve">Sukladno definiranom Okvirom klimatsko-energetske politike, Niskougljična strategija uvodi mehanizme novog upravljanja, s tim u vezi propisat će se obveza dvogodišnjeg izvještavanja glavnih sektora o provedbi mjera iz Niskougljične strategije i njenog Akcijskog plana. Ova izvješća trebaju prethoditi izvješću Republike Hrvatske prema Europskoj komisiji. Također </w:t>
      </w:r>
      <w:r w:rsidRPr="00D60728">
        <w:lastRenderedPageBreak/>
        <w:t>uvodi se i svakih pet godina aktualizacija sektorskih ciljeva koji se ugrađuju u Integrirani energetski i klimatski plan. Nadležno ministarstvo za politike klime uspostavit će mehanizme za usuglašavanje, praćenje i izvještavanje.</w:t>
      </w:r>
    </w:p>
    <w:p w:rsidR="006A120F" w:rsidRPr="00D60728" w:rsidRDefault="006A120F" w:rsidP="00BF7DCC">
      <w:pPr>
        <w:spacing w:line="240" w:lineRule="auto"/>
      </w:pPr>
    </w:p>
    <w:p w:rsidR="006A120F" w:rsidRPr="00D60728" w:rsidRDefault="006A120F" w:rsidP="00BF7DCC">
      <w:pPr>
        <w:spacing w:line="240" w:lineRule="auto"/>
      </w:pPr>
      <w:r w:rsidRPr="00D60728">
        <w:t>U središnjim tijelima državne uprave potrebno je formirati timove za rad na temi klimatskih aktivnosti, a također i u javnim poduzećima prema relevantnim temama.</w:t>
      </w:r>
    </w:p>
    <w:p w:rsidR="006A120F" w:rsidRPr="00D60728" w:rsidRDefault="006A120F" w:rsidP="00BF7DCC">
      <w:pPr>
        <w:spacing w:line="240" w:lineRule="auto"/>
        <w:rPr>
          <w:sz w:val="20"/>
          <w:szCs w:val="20"/>
        </w:rPr>
      </w:pPr>
    </w:p>
    <w:p w:rsidR="006A120F" w:rsidRPr="00D60728" w:rsidRDefault="006A120F" w:rsidP="00BF7DCC">
      <w:pPr>
        <w:spacing w:line="240" w:lineRule="auto"/>
        <w:rPr>
          <w:sz w:val="20"/>
          <w:szCs w:val="20"/>
        </w:rPr>
      </w:pPr>
      <w:r w:rsidRPr="00D60728">
        <w:rPr>
          <w:sz w:val="20"/>
          <w:szCs w:val="20"/>
        </w:rPr>
        <w:t xml:space="preserve"> </w:t>
      </w:r>
    </w:p>
    <w:p w:rsidR="00350889" w:rsidRPr="00D60728" w:rsidRDefault="00723C4A" w:rsidP="00723C4A">
      <w:pPr>
        <w:pStyle w:val="Heading1"/>
        <w:spacing w:after="0" w:line="240" w:lineRule="auto"/>
        <w:ind w:left="567" w:hanging="567"/>
        <w:jc w:val="left"/>
        <w:rPr>
          <w:rFonts w:cs="Times New Roman"/>
        </w:rPr>
      </w:pPr>
      <w:bookmarkStart w:id="44" w:name="_Toc24632367"/>
      <w:bookmarkStart w:id="45" w:name="_Toc24634717"/>
      <w:bookmarkStart w:id="46" w:name="_Toc24702457"/>
      <w:bookmarkStart w:id="47" w:name="_Toc34147577"/>
      <w:r>
        <w:rPr>
          <w:rFonts w:cs="Times New Roman"/>
        </w:rPr>
        <w:t xml:space="preserve">5. </w:t>
      </w:r>
      <w:r>
        <w:rPr>
          <w:rFonts w:cs="Times New Roman"/>
        </w:rPr>
        <w:tab/>
      </w:r>
      <w:r w:rsidR="007630C9" w:rsidRPr="00D60728">
        <w:rPr>
          <w:rFonts w:cs="Times New Roman"/>
        </w:rPr>
        <w:t xml:space="preserve">POKAZATELJI PROVEDBE </w:t>
      </w:r>
      <w:bookmarkEnd w:id="44"/>
      <w:bookmarkEnd w:id="45"/>
      <w:bookmarkEnd w:id="46"/>
      <w:r w:rsidR="00CB63E8" w:rsidRPr="00D60728">
        <w:rPr>
          <w:rFonts w:cs="Times New Roman"/>
        </w:rPr>
        <w:t>NISKOUGLJIČNE STRATEGIJE</w:t>
      </w:r>
      <w:bookmarkEnd w:id="47"/>
    </w:p>
    <w:p w:rsidR="00723C4A" w:rsidRDefault="00723C4A" w:rsidP="00BF7DCC">
      <w:pPr>
        <w:spacing w:line="240" w:lineRule="auto"/>
      </w:pPr>
    </w:p>
    <w:p w:rsidR="007630C9" w:rsidRPr="00D60728" w:rsidRDefault="007630C9" w:rsidP="00BF7DCC">
      <w:pPr>
        <w:spacing w:line="240" w:lineRule="auto"/>
      </w:pPr>
      <w:r w:rsidRPr="00D60728">
        <w:t>Temeljni pokazatelji za praćenje provedbe Niskougljične strategije su:</w:t>
      </w:r>
    </w:p>
    <w:p w:rsidR="007630C9" w:rsidRPr="00D60728" w:rsidRDefault="007630C9" w:rsidP="00BF7DCC">
      <w:pPr>
        <w:spacing w:line="240" w:lineRule="auto"/>
      </w:pPr>
    </w:p>
    <w:p w:rsidR="007630C9" w:rsidRPr="00D60728" w:rsidRDefault="007630C9" w:rsidP="00BF7DCC">
      <w:pPr>
        <w:pStyle w:val="ListParagraph"/>
        <w:numPr>
          <w:ilvl w:val="0"/>
          <w:numId w:val="42"/>
        </w:numPr>
        <w:spacing w:line="240" w:lineRule="auto"/>
        <w:contextualSpacing w:val="0"/>
      </w:pPr>
      <w:r w:rsidRPr="00D60728">
        <w:t>Ukupna emisija stakleničkih plinova</w:t>
      </w:r>
    </w:p>
    <w:p w:rsidR="007630C9" w:rsidRPr="00D60728" w:rsidRDefault="007630C9" w:rsidP="00BF7DCC">
      <w:pPr>
        <w:pStyle w:val="ListParagraph"/>
        <w:numPr>
          <w:ilvl w:val="0"/>
          <w:numId w:val="42"/>
        </w:numPr>
        <w:spacing w:line="240" w:lineRule="auto"/>
        <w:contextualSpacing w:val="0"/>
      </w:pPr>
      <w:r w:rsidRPr="00D60728">
        <w:t>Emisija ETS sektora</w:t>
      </w:r>
    </w:p>
    <w:p w:rsidR="007630C9" w:rsidRPr="00D60728" w:rsidRDefault="007630C9" w:rsidP="00BF7DCC">
      <w:pPr>
        <w:pStyle w:val="ListParagraph"/>
        <w:numPr>
          <w:ilvl w:val="0"/>
          <w:numId w:val="42"/>
        </w:numPr>
        <w:spacing w:line="240" w:lineRule="auto"/>
        <w:contextualSpacing w:val="0"/>
      </w:pPr>
      <w:r w:rsidRPr="00D60728">
        <w:t>Emisija sektora izvan ETS-a</w:t>
      </w:r>
    </w:p>
    <w:p w:rsidR="007630C9" w:rsidRPr="00D60728" w:rsidRDefault="007630C9" w:rsidP="00BF7DCC">
      <w:pPr>
        <w:pStyle w:val="ListParagraph"/>
        <w:numPr>
          <w:ilvl w:val="0"/>
          <w:numId w:val="42"/>
        </w:numPr>
        <w:spacing w:line="240" w:lineRule="auto"/>
        <w:contextualSpacing w:val="0"/>
      </w:pPr>
      <w:r w:rsidRPr="00D60728">
        <w:t>Razlika emisije u odnosu na utvrđenu kvotu u sektorima izvan ETS-a</w:t>
      </w:r>
    </w:p>
    <w:p w:rsidR="007630C9" w:rsidRPr="00D60728" w:rsidRDefault="007630C9" w:rsidP="00BF7DCC">
      <w:pPr>
        <w:pStyle w:val="ListParagraph"/>
        <w:numPr>
          <w:ilvl w:val="0"/>
          <w:numId w:val="42"/>
        </w:numPr>
        <w:spacing w:line="240" w:lineRule="auto"/>
        <w:contextualSpacing w:val="0"/>
      </w:pPr>
      <w:r w:rsidRPr="00D60728">
        <w:t>Emisija po BDP-u</w:t>
      </w:r>
    </w:p>
    <w:p w:rsidR="007630C9" w:rsidRPr="00D60728" w:rsidRDefault="007630C9" w:rsidP="00BF7DCC">
      <w:pPr>
        <w:pStyle w:val="ListParagraph"/>
        <w:numPr>
          <w:ilvl w:val="0"/>
          <w:numId w:val="42"/>
        </w:numPr>
        <w:spacing w:line="240" w:lineRule="auto"/>
        <w:contextualSpacing w:val="0"/>
      </w:pPr>
      <w:r w:rsidRPr="00D60728">
        <w:t xml:space="preserve">Emisija po stanovniku </w:t>
      </w:r>
    </w:p>
    <w:p w:rsidR="007630C9" w:rsidRPr="00D60728" w:rsidRDefault="007630C9" w:rsidP="00BF7DCC">
      <w:pPr>
        <w:pStyle w:val="ListParagraph"/>
        <w:numPr>
          <w:ilvl w:val="0"/>
          <w:numId w:val="42"/>
        </w:numPr>
        <w:spacing w:line="240" w:lineRule="auto"/>
        <w:contextualSpacing w:val="0"/>
      </w:pPr>
      <w:r w:rsidRPr="00D60728">
        <w:t>Neposredna potrošnja energije i potrošnja primarne energije</w:t>
      </w:r>
    </w:p>
    <w:p w:rsidR="007630C9" w:rsidRPr="00D60728" w:rsidRDefault="007630C9" w:rsidP="00BF7DCC">
      <w:pPr>
        <w:pStyle w:val="ListParagraph"/>
        <w:numPr>
          <w:ilvl w:val="0"/>
          <w:numId w:val="42"/>
        </w:numPr>
        <w:spacing w:line="240" w:lineRule="auto"/>
        <w:contextualSpacing w:val="0"/>
      </w:pPr>
      <w:r w:rsidRPr="00D60728">
        <w:t>Prosječna cijena CO</w:t>
      </w:r>
      <w:r w:rsidRPr="00D60728">
        <w:rPr>
          <w:vertAlign w:val="subscript"/>
        </w:rPr>
        <w:t>2</w:t>
      </w:r>
      <w:r w:rsidRPr="00D60728">
        <w:t xml:space="preserve"> na tržištu ETS-a</w:t>
      </w:r>
    </w:p>
    <w:p w:rsidR="007630C9" w:rsidRPr="00D60728" w:rsidRDefault="007630C9" w:rsidP="00BF7DCC">
      <w:pPr>
        <w:pStyle w:val="ListParagraph"/>
        <w:numPr>
          <w:ilvl w:val="0"/>
          <w:numId w:val="42"/>
        </w:numPr>
        <w:spacing w:line="240" w:lineRule="auto"/>
        <w:contextualSpacing w:val="0"/>
      </w:pPr>
      <w:r w:rsidRPr="00D60728">
        <w:t>Ukupna javna sredstva raspoloživa za financiranje ublažavanja klimatskih promjena</w:t>
      </w:r>
    </w:p>
    <w:p w:rsidR="007630C9" w:rsidRPr="00D60728" w:rsidRDefault="007630C9" w:rsidP="00BF7DCC">
      <w:pPr>
        <w:pStyle w:val="ListParagraph"/>
        <w:numPr>
          <w:ilvl w:val="0"/>
          <w:numId w:val="42"/>
        </w:numPr>
        <w:spacing w:line="240" w:lineRule="auto"/>
        <w:contextualSpacing w:val="0"/>
      </w:pPr>
      <w:r w:rsidRPr="00D60728">
        <w:t>Broj punionica za električna vozila</w:t>
      </w:r>
    </w:p>
    <w:p w:rsidR="007630C9" w:rsidRPr="00D60728" w:rsidRDefault="007630C9" w:rsidP="00BF7DCC">
      <w:pPr>
        <w:pStyle w:val="ListParagraph"/>
        <w:numPr>
          <w:ilvl w:val="0"/>
          <w:numId w:val="42"/>
        </w:numPr>
        <w:spacing w:line="240" w:lineRule="auto"/>
        <w:contextualSpacing w:val="0"/>
      </w:pPr>
      <w:r w:rsidRPr="00D60728">
        <w:t>Broj električnih i hibridnih vozila</w:t>
      </w:r>
    </w:p>
    <w:p w:rsidR="007630C9" w:rsidRPr="00D60728" w:rsidRDefault="007630C9" w:rsidP="00BF7DCC">
      <w:pPr>
        <w:pStyle w:val="ListParagraph"/>
        <w:numPr>
          <w:ilvl w:val="0"/>
          <w:numId w:val="42"/>
        </w:numPr>
        <w:spacing w:line="240" w:lineRule="auto"/>
        <w:contextualSpacing w:val="0"/>
      </w:pPr>
      <w:r w:rsidRPr="00D60728">
        <w:t>Troškovi mjera utvrđeni temeljem ulaganja FZOEU (odobrena sredstva/izračunato smanjenje emisije, HRK/tCO</w:t>
      </w:r>
      <w:r w:rsidRPr="00D60728">
        <w:rPr>
          <w:vertAlign w:val="subscript"/>
        </w:rPr>
        <w:t>2</w:t>
      </w:r>
      <w:r w:rsidRPr="00D60728">
        <w:t>)</w:t>
      </w:r>
    </w:p>
    <w:p w:rsidR="007630C9" w:rsidRPr="00D60728" w:rsidRDefault="007630C9" w:rsidP="00BF7DCC">
      <w:pPr>
        <w:pStyle w:val="ListParagraph"/>
        <w:numPr>
          <w:ilvl w:val="0"/>
          <w:numId w:val="42"/>
        </w:numPr>
        <w:spacing w:line="240" w:lineRule="auto"/>
        <w:contextualSpacing w:val="0"/>
      </w:pPr>
      <w:r w:rsidRPr="00D60728">
        <w:t>Udio obnovljivih izvora energije u bruto neposrednoj potrošnji energije, u proizvodnji električne energije i u prometu</w:t>
      </w:r>
    </w:p>
    <w:p w:rsidR="007630C9" w:rsidRPr="00D60728" w:rsidRDefault="007630C9" w:rsidP="00BF7DCC">
      <w:pPr>
        <w:pStyle w:val="ListParagraph"/>
        <w:numPr>
          <w:ilvl w:val="0"/>
          <w:numId w:val="42"/>
        </w:numPr>
        <w:spacing w:line="240" w:lineRule="auto"/>
        <w:contextualSpacing w:val="0"/>
      </w:pPr>
      <w:r w:rsidRPr="00D60728">
        <w:t>Ukupna površina obnovljenih javnih, višestambenih zgrada i obiteljskih kuća čija se obnova sufinancirala iz javnih sredstava</w:t>
      </w:r>
    </w:p>
    <w:p w:rsidR="007630C9" w:rsidRPr="00D60728" w:rsidRDefault="007630C9" w:rsidP="00BF7DCC">
      <w:pPr>
        <w:pStyle w:val="ListParagraph"/>
        <w:numPr>
          <w:ilvl w:val="0"/>
          <w:numId w:val="42"/>
        </w:numPr>
        <w:spacing w:line="240" w:lineRule="auto"/>
        <w:contextualSpacing w:val="0"/>
      </w:pPr>
      <w:r w:rsidRPr="00D60728">
        <w:t>Veličina odliva LULUCF za šume na kojima se gospodari, za poljoprivredno zemljište kojim se gospodari, za pašnjake kojim se gospodari, za krčenje i sadnju novih šuma</w:t>
      </w:r>
    </w:p>
    <w:p w:rsidR="007630C9" w:rsidRPr="00D60728" w:rsidRDefault="007630C9" w:rsidP="00BF7DCC">
      <w:pPr>
        <w:spacing w:line="240" w:lineRule="auto"/>
      </w:pPr>
    </w:p>
    <w:p w:rsidR="00FC3563" w:rsidRPr="00723C4A" w:rsidRDefault="007630C9" w:rsidP="00BF7DCC">
      <w:pPr>
        <w:spacing w:line="240" w:lineRule="auto"/>
      </w:pPr>
      <w:r w:rsidRPr="00D60728">
        <w:t xml:space="preserve">Ove pokazatelje treba objavljivati Državni zavod za statistiku u svojim godišnjim izvještajima.   </w:t>
      </w:r>
    </w:p>
    <w:p w:rsidR="0031364A" w:rsidRPr="00D60728" w:rsidRDefault="0031364A" w:rsidP="00BF7DCC">
      <w:pPr>
        <w:spacing w:line="240" w:lineRule="auto"/>
        <w:rPr>
          <w:sz w:val="20"/>
          <w:szCs w:val="20"/>
        </w:rPr>
      </w:pPr>
    </w:p>
    <w:p w:rsidR="0031364A" w:rsidRPr="00D60728" w:rsidRDefault="0031364A" w:rsidP="00BF7DCC">
      <w:pPr>
        <w:spacing w:line="240" w:lineRule="auto"/>
        <w:rPr>
          <w:sz w:val="20"/>
          <w:szCs w:val="20"/>
        </w:rPr>
      </w:pPr>
    </w:p>
    <w:p w:rsidR="007F541F" w:rsidRPr="00D60728" w:rsidRDefault="002832B3" w:rsidP="00723C4A">
      <w:pPr>
        <w:pStyle w:val="Heading1"/>
        <w:spacing w:after="0" w:line="240" w:lineRule="auto"/>
        <w:ind w:left="567" w:hanging="567"/>
        <w:jc w:val="left"/>
        <w:rPr>
          <w:rFonts w:cs="Times New Roman"/>
        </w:rPr>
      </w:pPr>
      <w:bookmarkStart w:id="48" w:name="_Toc24632368"/>
      <w:bookmarkStart w:id="49" w:name="_Toc24634718"/>
      <w:bookmarkStart w:id="50" w:name="_Toc24702458"/>
      <w:bookmarkStart w:id="51" w:name="_Toc34147578"/>
      <w:r w:rsidRPr="00D60728">
        <w:rPr>
          <w:rFonts w:cs="Times New Roman"/>
        </w:rPr>
        <w:t>6</w:t>
      </w:r>
      <w:r w:rsidR="000D2C3F" w:rsidRPr="00D60728">
        <w:rPr>
          <w:rFonts w:cs="Times New Roman"/>
        </w:rPr>
        <w:t xml:space="preserve">. </w:t>
      </w:r>
      <w:r w:rsidR="00723C4A">
        <w:rPr>
          <w:rFonts w:cs="Times New Roman"/>
        </w:rPr>
        <w:tab/>
      </w:r>
      <w:r w:rsidRPr="00D60728">
        <w:rPr>
          <w:rFonts w:cs="Times New Roman"/>
        </w:rPr>
        <w:t>IZVORI FINANCIRANJA MJERA NISKOU</w:t>
      </w:r>
      <w:r w:rsidR="00420B01" w:rsidRPr="00D60728">
        <w:rPr>
          <w:rFonts w:cs="Times New Roman"/>
        </w:rPr>
        <w:t>G</w:t>
      </w:r>
      <w:r w:rsidRPr="00D60728">
        <w:rPr>
          <w:rFonts w:cs="Times New Roman"/>
        </w:rPr>
        <w:t>LJIČNE STRATEGIJE</w:t>
      </w:r>
      <w:bookmarkEnd w:id="48"/>
      <w:bookmarkEnd w:id="49"/>
      <w:bookmarkEnd w:id="50"/>
      <w:bookmarkEnd w:id="51"/>
    </w:p>
    <w:p w:rsidR="00CB63E8" w:rsidRPr="00D60728" w:rsidRDefault="00CB63E8" w:rsidP="00BF7DCC">
      <w:pPr>
        <w:spacing w:line="240" w:lineRule="auto"/>
      </w:pPr>
    </w:p>
    <w:p w:rsidR="00CB63E8" w:rsidRPr="00D60728" w:rsidRDefault="00CB63E8" w:rsidP="00BF7DCC">
      <w:pPr>
        <w:keepNext/>
        <w:spacing w:line="240" w:lineRule="auto"/>
      </w:pPr>
      <w:r w:rsidRPr="00D60728">
        <w:t xml:space="preserve">Okvir za financiranje mjera u priličnoj mjeri već postoji, u smislu mogućih izvora financiranja. </w:t>
      </w:r>
    </w:p>
    <w:p w:rsidR="00CB63E8" w:rsidRPr="00D60728" w:rsidRDefault="00CB63E8" w:rsidP="00BF7DCC">
      <w:pPr>
        <w:keepNext/>
        <w:spacing w:line="240" w:lineRule="auto"/>
      </w:pPr>
    </w:p>
    <w:p w:rsidR="002832B3" w:rsidRPr="00D60728" w:rsidRDefault="00420B01" w:rsidP="00BF7DCC">
      <w:pPr>
        <w:spacing w:line="240" w:lineRule="auto"/>
      </w:pPr>
      <w:r w:rsidRPr="00D60728">
        <w:t xml:space="preserve">U razdoblju provedbe Akcijskog plana glavni izvori financiranja biti će: </w:t>
      </w:r>
    </w:p>
    <w:p w:rsidR="002832B3" w:rsidRPr="00D60728" w:rsidRDefault="002832B3" w:rsidP="00BF7DCC">
      <w:pPr>
        <w:spacing w:line="240" w:lineRule="auto"/>
      </w:pPr>
    </w:p>
    <w:p w:rsidR="002832B3" w:rsidRPr="00D60728" w:rsidRDefault="002832B3" w:rsidP="00BF7DCC">
      <w:pPr>
        <w:numPr>
          <w:ilvl w:val="0"/>
          <w:numId w:val="2"/>
        </w:numPr>
        <w:spacing w:line="240" w:lineRule="auto"/>
        <w:contextualSpacing/>
      </w:pPr>
      <w:r w:rsidRPr="00D60728">
        <w:t>Pr</w:t>
      </w:r>
      <w:r w:rsidR="001C47FB" w:rsidRPr="00D60728">
        <w:t>ihodi od prodaje emisijskih jedinica na dražbama ETS-a</w:t>
      </w:r>
      <w:r w:rsidRPr="00D60728">
        <w:t xml:space="preserve"> </w:t>
      </w:r>
    </w:p>
    <w:p w:rsidR="001C47FB" w:rsidRPr="00D60728" w:rsidRDefault="001C47FB" w:rsidP="00BF7DCC">
      <w:pPr>
        <w:numPr>
          <w:ilvl w:val="0"/>
          <w:numId w:val="2"/>
        </w:numPr>
        <w:spacing w:line="240" w:lineRule="auto"/>
        <w:contextualSpacing/>
      </w:pPr>
      <w:r w:rsidRPr="00D60728">
        <w:t>Strukturni i investicijski fondovi EU</w:t>
      </w:r>
    </w:p>
    <w:p w:rsidR="001C47FB" w:rsidRPr="00D60728" w:rsidRDefault="001C47FB" w:rsidP="00BF7DCC">
      <w:pPr>
        <w:numPr>
          <w:ilvl w:val="0"/>
          <w:numId w:val="2"/>
        </w:numPr>
        <w:spacing w:line="240" w:lineRule="auto"/>
        <w:contextualSpacing/>
      </w:pPr>
      <w:r w:rsidRPr="00D60728">
        <w:t xml:space="preserve">Fond za modernizaciju, iz dražbovne kvote ETS-a </w:t>
      </w:r>
    </w:p>
    <w:p w:rsidR="001C47FB" w:rsidRPr="00D60728" w:rsidRDefault="001C47FB" w:rsidP="00BF7DCC">
      <w:pPr>
        <w:numPr>
          <w:ilvl w:val="0"/>
          <w:numId w:val="2"/>
        </w:numPr>
        <w:spacing w:line="240" w:lineRule="auto"/>
        <w:contextualSpacing/>
      </w:pPr>
      <w:r w:rsidRPr="00D60728">
        <w:t>Fond za inovacije, iz dražbovne kvote ETS-a</w:t>
      </w:r>
    </w:p>
    <w:p w:rsidR="001C47FB" w:rsidRPr="00D60728" w:rsidRDefault="001C47FB" w:rsidP="00BF7DCC">
      <w:pPr>
        <w:pStyle w:val="ListParagraph"/>
        <w:keepNext/>
        <w:numPr>
          <w:ilvl w:val="0"/>
          <w:numId w:val="2"/>
        </w:numPr>
        <w:spacing w:line="240" w:lineRule="auto"/>
      </w:pPr>
      <w:r w:rsidRPr="00D60728">
        <w:lastRenderedPageBreak/>
        <w:t>Fond za povezivanje Europe (Connecting Europe Facility)</w:t>
      </w:r>
    </w:p>
    <w:p w:rsidR="001C47FB" w:rsidRPr="00D60728" w:rsidRDefault="001C47FB" w:rsidP="00BF7DCC">
      <w:pPr>
        <w:pStyle w:val="ListParagraph"/>
        <w:keepNext/>
        <w:numPr>
          <w:ilvl w:val="0"/>
          <w:numId w:val="2"/>
        </w:numPr>
        <w:spacing w:line="240" w:lineRule="auto"/>
      </w:pPr>
      <w:r w:rsidRPr="00D60728">
        <w:t>Europski fond za strateška ulaganja (EFSU) i Fond InvestEU</w:t>
      </w:r>
    </w:p>
    <w:p w:rsidR="001C47FB" w:rsidRPr="00D60728" w:rsidRDefault="001C47FB" w:rsidP="00BF7DCC">
      <w:pPr>
        <w:pStyle w:val="ListParagraph"/>
        <w:keepNext/>
        <w:numPr>
          <w:ilvl w:val="0"/>
          <w:numId w:val="2"/>
        </w:numPr>
        <w:spacing w:line="240" w:lineRule="auto"/>
      </w:pPr>
      <w:r w:rsidRPr="00D60728">
        <w:t>Europski energetski program za oporavak (EEPR) i Europski fond za energetsku učinkovitost (EEEF)</w:t>
      </w:r>
    </w:p>
    <w:p w:rsidR="001C47FB" w:rsidRPr="00D60728" w:rsidRDefault="001C47FB" w:rsidP="00BF7DCC">
      <w:pPr>
        <w:pStyle w:val="ListParagraph"/>
        <w:numPr>
          <w:ilvl w:val="0"/>
          <w:numId w:val="2"/>
        </w:numPr>
        <w:spacing w:line="240" w:lineRule="auto"/>
      </w:pPr>
      <w:r w:rsidRPr="00D60728">
        <w:t>Obzor 2020 i Obzor Europa</w:t>
      </w:r>
    </w:p>
    <w:p w:rsidR="001C47FB" w:rsidRPr="00D60728" w:rsidRDefault="001C47FB" w:rsidP="00BF7DCC">
      <w:pPr>
        <w:pStyle w:val="ListParagraph"/>
        <w:numPr>
          <w:ilvl w:val="0"/>
          <w:numId w:val="2"/>
        </w:numPr>
        <w:spacing w:line="240" w:lineRule="auto"/>
      </w:pPr>
      <w:r w:rsidRPr="00D60728">
        <w:t>LIFE program</w:t>
      </w:r>
    </w:p>
    <w:p w:rsidR="001C47FB" w:rsidRPr="00D60728" w:rsidRDefault="001C47FB" w:rsidP="00BF7DCC">
      <w:pPr>
        <w:pStyle w:val="ListParagraph"/>
        <w:numPr>
          <w:ilvl w:val="0"/>
          <w:numId w:val="2"/>
        </w:numPr>
        <w:spacing w:line="240" w:lineRule="auto"/>
      </w:pPr>
      <w:r w:rsidRPr="00D60728">
        <w:t>Europski fond za regionalni razvoj (EFRR)</w:t>
      </w:r>
    </w:p>
    <w:p w:rsidR="001C47FB" w:rsidRPr="00D60728" w:rsidRDefault="001C47FB" w:rsidP="00BF7DCC">
      <w:pPr>
        <w:pStyle w:val="ListParagraph"/>
        <w:keepNext/>
        <w:numPr>
          <w:ilvl w:val="0"/>
          <w:numId w:val="2"/>
        </w:numPr>
        <w:spacing w:line="240" w:lineRule="auto"/>
      </w:pPr>
      <w:r w:rsidRPr="00D60728">
        <w:t>Interreg: Europska teritorijalna suradnja (ETC)</w:t>
      </w:r>
    </w:p>
    <w:p w:rsidR="001C47FB" w:rsidRPr="00D60728" w:rsidRDefault="001C47FB" w:rsidP="00BF7DCC">
      <w:pPr>
        <w:pStyle w:val="ListParagraph"/>
        <w:keepNext/>
        <w:numPr>
          <w:ilvl w:val="0"/>
          <w:numId w:val="2"/>
        </w:numPr>
        <w:spacing w:line="240" w:lineRule="auto"/>
      </w:pPr>
      <w:r w:rsidRPr="00D60728">
        <w:t>Proračun Republike Hrvatske</w:t>
      </w:r>
    </w:p>
    <w:p w:rsidR="001C47FB" w:rsidRPr="00D60728" w:rsidRDefault="001C47FB" w:rsidP="00BF7DCC">
      <w:pPr>
        <w:pStyle w:val="ListParagraph"/>
        <w:keepNext/>
        <w:numPr>
          <w:ilvl w:val="0"/>
          <w:numId w:val="2"/>
        </w:numPr>
        <w:spacing w:line="240" w:lineRule="auto"/>
      </w:pPr>
      <w:r w:rsidRPr="00D60728">
        <w:t xml:space="preserve">Financiranje provedbe mjera na osnovu sustava obveze energetske učinkovitosti sukladno Direktivi 2012/27/EU o energetskoj učinkovitosti </w:t>
      </w:r>
    </w:p>
    <w:p w:rsidR="001C47FB" w:rsidRPr="00D60728" w:rsidRDefault="001C47FB" w:rsidP="00BF7DCC">
      <w:pPr>
        <w:pStyle w:val="ListParagraph"/>
        <w:keepNext/>
        <w:numPr>
          <w:ilvl w:val="0"/>
          <w:numId w:val="2"/>
        </w:numPr>
        <w:spacing w:line="240" w:lineRule="auto"/>
      </w:pPr>
      <w:r w:rsidRPr="00D60728">
        <w:t>Naknada za emisije CO</w:t>
      </w:r>
      <w:r w:rsidRPr="00D60728">
        <w:rPr>
          <w:vertAlign w:val="subscript"/>
        </w:rPr>
        <w:t>2</w:t>
      </w:r>
    </w:p>
    <w:p w:rsidR="001C47FB" w:rsidRPr="00D60728" w:rsidRDefault="001C47FB" w:rsidP="00BF7DCC">
      <w:pPr>
        <w:pStyle w:val="ListParagraph"/>
        <w:numPr>
          <w:ilvl w:val="0"/>
          <w:numId w:val="2"/>
        </w:numPr>
        <w:spacing w:line="240" w:lineRule="auto"/>
      </w:pPr>
      <w:r w:rsidRPr="00D60728">
        <w:t xml:space="preserve">Naknada za proizvodnju električne energije iz obnovljivih izvora energije </w:t>
      </w:r>
    </w:p>
    <w:p w:rsidR="001C47FB" w:rsidRPr="00D60728" w:rsidRDefault="001C47FB" w:rsidP="00BF7DCC">
      <w:pPr>
        <w:pStyle w:val="ListParagraph"/>
        <w:numPr>
          <w:ilvl w:val="0"/>
          <w:numId w:val="2"/>
        </w:numPr>
        <w:spacing w:line="240" w:lineRule="auto"/>
      </w:pPr>
      <w:r w:rsidRPr="00D60728">
        <w:t>Kreditne linije poslovnih banaka</w:t>
      </w:r>
    </w:p>
    <w:p w:rsidR="001C47FB" w:rsidRPr="00D60728" w:rsidRDefault="001C47FB" w:rsidP="00BF7DCC">
      <w:pPr>
        <w:pStyle w:val="ListParagraph"/>
        <w:numPr>
          <w:ilvl w:val="0"/>
          <w:numId w:val="2"/>
        </w:numPr>
        <w:spacing w:line="240" w:lineRule="auto"/>
      </w:pPr>
      <w:r w:rsidRPr="00D60728">
        <w:t>ESCO modeli financiranja</w:t>
      </w:r>
    </w:p>
    <w:p w:rsidR="001C47FB" w:rsidRPr="00D60728" w:rsidRDefault="001C47FB" w:rsidP="00BF7DCC">
      <w:pPr>
        <w:spacing w:line="240" w:lineRule="auto"/>
        <w:contextualSpacing/>
      </w:pPr>
    </w:p>
    <w:p w:rsidR="001756B4" w:rsidRPr="00D60728" w:rsidRDefault="001756B4" w:rsidP="00BF7DCC">
      <w:pPr>
        <w:spacing w:line="240" w:lineRule="auto"/>
        <w:rPr>
          <w:b/>
        </w:rPr>
      </w:pPr>
      <w:r w:rsidRPr="00D60728">
        <w:rPr>
          <w:b/>
        </w:rPr>
        <w:t>Niskougljična strategija predviđa da će dugoročno za provođenje mjera biti potrebno osigurati dodatna sredstva uvođenjem naknada na emisije za sve djelatnosti koje imaju emisije stakleničkih plinova, to se odnosi i na potrošnju fosilnih goriva za toplinske potrebe u kućanstvima, uslužnoj djelatnosti i prometu.</w:t>
      </w:r>
    </w:p>
    <w:p w:rsidR="001756B4" w:rsidRPr="00D60728" w:rsidRDefault="001756B4" w:rsidP="00BF7DCC">
      <w:pPr>
        <w:spacing w:line="240" w:lineRule="auto"/>
      </w:pPr>
    </w:p>
    <w:p w:rsidR="001756B4" w:rsidRPr="00D60728" w:rsidRDefault="001756B4" w:rsidP="00BF7DCC">
      <w:pPr>
        <w:spacing w:line="240" w:lineRule="auto"/>
      </w:pPr>
      <w:r w:rsidRPr="00D60728">
        <w:t xml:space="preserve">U nastavku se daje pregled pojedinačno o mogućnostima financiranja niskougljičnog razvoja iz pojedinih izvora. </w:t>
      </w:r>
    </w:p>
    <w:p w:rsidR="00CB63E8" w:rsidRPr="00D60728" w:rsidRDefault="00CB63E8" w:rsidP="00BF7DCC">
      <w:pPr>
        <w:spacing w:line="240" w:lineRule="auto"/>
      </w:pPr>
    </w:p>
    <w:p w:rsidR="00CB63E8" w:rsidRPr="00D60728" w:rsidRDefault="00CB63E8" w:rsidP="00BF7DCC">
      <w:pPr>
        <w:keepNext/>
        <w:spacing w:line="240" w:lineRule="auto"/>
        <w:rPr>
          <w:u w:val="single"/>
        </w:rPr>
      </w:pPr>
      <w:r w:rsidRPr="00D60728">
        <w:rPr>
          <w:u w:val="single"/>
        </w:rPr>
        <w:t>Prihodi od prodaje emisijskih jedinica na dražbama ETS-a</w:t>
      </w:r>
    </w:p>
    <w:p w:rsidR="00CB63E8" w:rsidRPr="00D60728" w:rsidRDefault="00CB63E8" w:rsidP="00BF7DCC">
      <w:pPr>
        <w:keepNext/>
        <w:spacing w:line="240" w:lineRule="auto"/>
      </w:pPr>
    </w:p>
    <w:p w:rsidR="00CB63E8" w:rsidRPr="00D60728" w:rsidRDefault="00CB63E8" w:rsidP="00BF7DCC">
      <w:pPr>
        <w:keepNext/>
        <w:spacing w:line="240" w:lineRule="auto"/>
      </w:pPr>
      <w:r w:rsidRPr="00D60728">
        <w:t>Fond za zaštitu okoliša i energetsku učinkovitost (FZOEU) raspolaže sredstvima prikupljenima od dražbi emisijskih jedinica. Sukladno Odluci Vlade Republike Hrvatske o planu korištenja financijskih sredstava dobivenih od prodaje emisijskih jedinica putem dražbi u Republike Hrvatske do 2020. godine, ukupno kumulativno financiranje do 2020. godine u području zaštite okoliša, energetske učinkovitosti i korištenja obnovljivih izvora energije iznosi 115 mil. EUR koje će se uplatiti u FZOEU. Za provedbu mjera ublažavanja i prilagodbe klimatskim promjenama do 2020. godine planira se utrošiti oko 110 mil. EUR.</w:t>
      </w:r>
    </w:p>
    <w:p w:rsidR="00CB63E8" w:rsidRPr="00D60728" w:rsidRDefault="00CB63E8" w:rsidP="00BF7DCC">
      <w:pPr>
        <w:spacing w:line="240" w:lineRule="auto"/>
      </w:pPr>
    </w:p>
    <w:p w:rsidR="00CB63E8" w:rsidRPr="00D60728" w:rsidRDefault="00CB63E8" w:rsidP="00BF7DCC">
      <w:pPr>
        <w:spacing w:line="240" w:lineRule="auto"/>
      </w:pPr>
      <w:r w:rsidRPr="00D60728">
        <w:t xml:space="preserve">Propisano je da se prikupljena sredstva od dražbe ne mogu „vraćati“ u industriju u neograničenom iznosu, zbog zakonskih ograničenja javnih potpora. Prema Programu dodjela potpora male vrijednosti (de minimis) u području zaštite okoliša, energetske učinkovitosti i korištenja obnovljivih izvora energije, poduzetnici mogu primiti ukupnu potporu od države u iznosu od 200.000 EUR u tri godine. To je iznos koji bi mogao pomoći pripremi dokumentacije, ali je nedostatno za realizaciju projekata. </w:t>
      </w:r>
    </w:p>
    <w:p w:rsidR="00CB63E8" w:rsidRPr="00D60728" w:rsidRDefault="00CB63E8" w:rsidP="00BF7DCC">
      <w:pPr>
        <w:spacing w:line="240" w:lineRule="auto"/>
      </w:pPr>
    </w:p>
    <w:p w:rsidR="00CB63E8" w:rsidRPr="00D60728" w:rsidRDefault="00CB63E8" w:rsidP="00BF7DCC">
      <w:pPr>
        <w:spacing w:line="240" w:lineRule="auto"/>
      </w:pPr>
      <w:r w:rsidRPr="00D60728">
        <w:t>U razdoblju od 2021. do 2030. godine, kvota za dražbu će se na jednoj strani smanjivati, približno po stopi od 2,2% godišnje do 2050. godine, no cijena CO</w:t>
      </w:r>
      <w:r w:rsidRPr="00D60728">
        <w:rPr>
          <w:vertAlign w:val="subscript"/>
        </w:rPr>
        <w:t>2</w:t>
      </w:r>
      <w:r w:rsidRPr="00D60728">
        <w:t xml:space="preserve"> će rasti, pa će FZOEU imati porast prihoda sve do 2050. godine. S oko 25 mil. EUR godišnje, prihod od dražbi bi mogao porasti na 130 mil. EUR u 2030. godini, a u 2050. godini na 201 mil. EUR.</w:t>
      </w:r>
    </w:p>
    <w:p w:rsidR="00CB63E8" w:rsidRPr="00D60728" w:rsidRDefault="00CB63E8" w:rsidP="00BF7DCC">
      <w:pPr>
        <w:spacing w:line="240" w:lineRule="auto"/>
      </w:pPr>
    </w:p>
    <w:p w:rsidR="00CB63E8" w:rsidRPr="00D60728" w:rsidRDefault="00CB63E8" w:rsidP="00BF7DCC">
      <w:pPr>
        <w:spacing w:line="240" w:lineRule="auto"/>
      </w:pPr>
      <w:r w:rsidRPr="00D60728">
        <w:rPr>
          <w:b/>
        </w:rPr>
        <w:t>U razdoblju od 2021. do 2030. godine temeljem ovih sredstva trebalo bi biti dostupno oko 1,1 mlrd. EUR</w:t>
      </w:r>
      <w:r w:rsidRPr="00D60728">
        <w:t xml:space="preserve">. Pritom će postrojenja uključena u ETS biti dužna kupovati emisijske jedinice. </w:t>
      </w:r>
      <w:r w:rsidRPr="00D60728">
        <w:lastRenderedPageBreak/>
        <w:t>Procjenjuje se da će trošak operatera ETS postrojenja u razdoblju od 2021. do 2030. iznositi oko 1,0 mlrd. EUR.</w:t>
      </w:r>
    </w:p>
    <w:p w:rsidR="00CB63E8" w:rsidRPr="00D60728" w:rsidRDefault="00CB63E8" w:rsidP="00BF7DCC">
      <w:pPr>
        <w:spacing w:line="240" w:lineRule="auto"/>
      </w:pPr>
    </w:p>
    <w:p w:rsidR="00CB63E8" w:rsidRPr="00D60728" w:rsidRDefault="00CB63E8" w:rsidP="00BF7DCC">
      <w:pPr>
        <w:spacing w:line="240" w:lineRule="auto"/>
        <w:rPr>
          <w:u w:val="single"/>
        </w:rPr>
      </w:pPr>
      <w:r w:rsidRPr="00D60728">
        <w:rPr>
          <w:u w:val="single"/>
        </w:rPr>
        <w:t xml:space="preserve">Fond za modernizaciju </w:t>
      </w:r>
    </w:p>
    <w:p w:rsidR="00CB63E8" w:rsidRPr="00D60728" w:rsidRDefault="00CB63E8" w:rsidP="00BF7DCC">
      <w:pPr>
        <w:spacing w:line="240" w:lineRule="auto"/>
      </w:pPr>
      <w:r w:rsidRPr="00D60728">
        <w:t xml:space="preserve"> </w:t>
      </w:r>
    </w:p>
    <w:p w:rsidR="00CB63E8" w:rsidRPr="00D60728" w:rsidRDefault="00CB63E8" w:rsidP="00BF7DCC">
      <w:pPr>
        <w:spacing w:line="240" w:lineRule="auto"/>
      </w:pPr>
      <w:r w:rsidRPr="00B65C5D">
        <w:rPr>
          <w:highlight w:val="yellow"/>
        </w:rPr>
        <w:t>Od 2021. godine uspostavit će se Fond za modernizaciju u okviru ETS sustava namijenjen kao potpora investicijama za modernizaciju energetskog sektora, kao i za povećanje energetske učinkovitosti.</w:t>
      </w:r>
      <w:r w:rsidRPr="00D60728">
        <w:t xml:space="preserve"> </w:t>
      </w:r>
      <w:r w:rsidRPr="00B65C5D">
        <w:rPr>
          <w:highlight w:val="yellow"/>
        </w:rPr>
        <w:t>Za korištenje sredstava iz fonda bile bi kvalificirane države članice s BDP-om po stanovniku manjim od 60% odnosu na europski prosjek ostvaren 2013. godine, a među njima je i Hrvatska.</w:t>
      </w:r>
      <w:r w:rsidRPr="00D60728">
        <w:t xml:space="preserve"> Prema predloženim izmjenama direktive o sustavu trgovanja emisijskim jedinicama Hrvatskoj bi pripao udjel od 3,14% ukupnih sredstava prikupljenih u fondu razmjerno udjelu emisije obveznika sustava trgovanja emisijama s područja Hrvatske i visini BDP-a. </w:t>
      </w:r>
    </w:p>
    <w:p w:rsidR="00CB63E8" w:rsidRPr="00D60728" w:rsidRDefault="00CB63E8" w:rsidP="00BF7DCC">
      <w:pPr>
        <w:spacing w:line="240" w:lineRule="auto"/>
      </w:pPr>
    </w:p>
    <w:p w:rsidR="00CB63E8" w:rsidRPr="00D60728" w:rsidRDefault="00CB63E8" w:rsidP="00BF7DCC">
      <w:pPr>
        <w:spacing w:line="240" w:lineRule="auto"/>
      </w:pPr>
      <w:r w:rsidRPr="00D60728">
        <w:t xml:space="preserve">U skladu s dodijeljenim udjelom u fondu Hrvatskoj bi od ukupne količine emisijskih jedinica namijenjenih fondu pripalo približno 9,74 mil. </w:t>
      </w:r>
    </w:p>
    <w:p w:rsidR="00CB63E8" w:rsidRPr="00D60728" w:rsidRDefault="00CB63E8" w:rsidP="00BF7DCC">
      <w:pPr>
        <w:spacing w:line="240" w:lineRule="auto"/>
      </w:pPr>
    </w:p>
    <w:p w:rsidR="00CB63E8" w:rsidRPr="00D60728" w:rsidRDefault="00CB63E8" w:rsidP="00BF7DCC">
      <w:pPr>
        <w:spacing w:line="240" w:lineRule="auto"/>
      </w:pPr>
      <w:r w:rsidRPr="00D60728">
        <w:t xml:space="preserve">Uz pretpostavku prosječne cijene emisijskih jedinica na razini od 35 EUR/EUA ukupni očekivani prihodi prikupljeni </w:t>
      </w:r>
      <w:r w:rsidRPr="00D60728">
        <w:rPr>
          <w:b/>
        </w:rPr>
        <w:t>iz Fonda za modernizaciju bi za Hrvatsku iznosili oko 340 mil. EUR</w:t>
      </w:r>
      <w:r w:rsidRPr="00D60728">
        <w:t>. Navedeno povećanje je procijenjeno, a stvarni prihodi Fonda za modernizaciju ovisit će o prosječnoj cijeni emisijskih jedinica koja će se ostvariti u razdoblju od 2021. do 2030. godine.</w:t>
      </w:r>
    </w:p>
    <w:p w:rsidR="00CB63E8" w:rsidRPr="00D60728" w:rsidRDefault="00CB63E8" w:rsidP="00BF7DCC">
      <w:pPr>
        <w:spacing w:line="240" w:lineRule="auto"/>
        <w:rPr>
          <w:b/>
        </w:rPr>
      </w:pPr>
    </w:p>
    <w:p w:rsidR="00CB63E8" w:rsidRPr="00D60728" w:rsidRDefault="00CB63E8" w:rsidP="00BF7DCC">
      <w:pPr>
        <w:spacing w:line="240" w:lineRule="auto"/>
        <w:rPr>
          <w:u w:val="single"/>
        </w:rPr>
      </w:pPr>
      <w:r w:rsidRPr="00D60728">
        <w:rPr>
          <w:u w:val="single"/>
        </w:rPr>
        <w:t>Strukturni i investicijski fondovi EU</w:t>
      </w:r>
    </w:p>
    <w:p w:rsidR="00CB63E8" w:rsidRPr="00D60728" w:rsidRDefault="00CB63E8" w:rsidP="00BF7DCC">
      <w:pPr>
        <w:spacing w:line="240" w:lineRule="auto"/>
      </w:pPr>
    </w:p>
    <w:p w:rsidR="00CB63E8" w:rsidRPr="00D60728" w:rsidRDefault="00CB63E8" w:rsidP="00BF7DCC">
      <w:pPr>
        <w:spacing w:line="240" w:lineRule="auto"/>
      </w:pPr>
      <w:r w:rsidRPr="00D60728">
        <w:t xml:space="preserve">Za razdoblje od 2014. do 2020. godine klimatske aktivnosti financiraju se kroz Operativni program konkurentnost i kohezija, kroz Operativni program učinkoviti ljudski resursi, Operativni program Pomorstvo i ribarstvo te Program ruralnog razvoja. Navedeni operativni programi povlače sredstva iz Europskog fonda za regionalni razvoj (ERDF), Europskog poljoprivrednog fonda za ruralni razvoj (EAFRD), Europskog fonda za pomorstvo i ribarstvo (EMFF) i Europskog kohezijskog fonda (ECF). Republika Hrvatska u ciklusu do 2020. godine, nije koristila mogućnost financiranja klimatskih aktivnosti iz Europskog socijalnog fonda (ESF), što je većina država EU učinila. </w:t>
      </w:r>
    </w:p>
    <w:p w:rsidR="00CB63E8" w:rsidRPr="00D60728" w:rsidRDefault="00CB63E8" w:rsidP="00BF7DCC">
      <w:pPr>
        <w:spacing w:line="240" w:lineRule="auto"/>
      </w:pPr>
    </w:p>
    <w:p w:rsidR="00CB63E8" w:rsidRPr="00D60728" w:rsidRDefault="00CB63E8" w:rsidP="00BF7DCC">
      <w:pPr>
        <w:spacing w:line="240" w:lineRule="auto"/>
      </w:pPr>
      <w:r w:rsidRPr="00D60728">
        <w:t xml:space="preserve">Zajednička pravila financiranja iz strukturnih i investicijskih fondova nalažu da se kroz sve operativne programe  minimalno 20% sredstava  koristiti za klimatske aktivnosti – ublažavanje i prilagodbu klimatskim promjenama. </w:t>
      </w:r>
    </w:p>
    <w:p w:rsidR="00CB63E8" w:rsidRPr="00D60728" w:rsidRDefault="00CB63E8" w:rsidP="00BF7DCC">
      <w:pPr>
        <w:spacing w:line="240" w:lineRule="auto"/>
      </w:pPr>
    </w:p>
    <w:p w:rsidR="00CB63E8" w:rsidRPr="00D60728" w:rsidRDefault="00CB63E8" w:rsidP="00BF7DCC">
      <w:pPr>
        <w:spacing w:line="240" w:lineRule="auto"/>
      </w:pPr>
      <w:r w:rsidRPr="00D60728">
        <w:t xml:space="preserve">Buduće financiranje iz ESI fondova ovisiti će o proračunu EU za razdoblje nakon 2020. godine. </w:t>
      </w:r>
    </w:p>
    <w:p w:rsidR="00CB63E8" w:rsidRPr="00D60728" w:rsidRDefault="00CB63E8" w:rsidP="00BF7DCC">
      <w:pPr>
        <w:spacing w:line="240" w:lineRule="auto"/>
      </w:pPr>
    </w:p>
    <w:p w:rsidR="00CB63E8" w:rsidRPr="00D60728" w:rsidRDefault="00CB63E8" w:rsidP="00BF7DCC">
      <w:pPr>
        <w:keepNext/>
        <w:spacing w:line="240" w:lineRule="auto"/>
        <w:jc w:val="left"/>
        <w:rPr>
          <w:u w:val="single"/>
        </w:rPr>
      </w:pPr>
      <w:r w:rsidRPr="00D60728">
        <w:rPr>
          <w:u w:val="single"/>
        </w:rPr>
        <w:t>Fond za inovacije</w:t>
      </w:r>
    </w:p>
    <w:p w:rsidR="00CB63E8" w:rsidRPr="00D60728" w:rsidRDefault="00CB63E8" w:rsidP="00BF7DCC">
      <w:pPr>
        <w:keepNext/>
        <w:spacing w:line="240" w:lineRule="auto"/>
      </w:pPr>
    </w:p>
    <w:p w:rsidR="00CB63E8" w:rsidRPr="00D60728" w:rsidRDefault="00CB63E8" w:rsidP="00BF7DCC">
      <w:pPr>
        <w:keepNext/>
        <w:spacing w:line="240" w:lineRule="auto"/>
      </w:pPr>
      <w:r w:rsidRPr="00D60728">
        <w:t xml:space="preserve">U Direktivi 2018/410/EU predlaže se od 2021. godine izdvajanje 400 mil. emisijskih jedinica iz rezerve za nove sudionike. Očekuje se da bi se od prodaje ovih emisijskih jedinica prikupilo oko 11 mlrd. EUR. Ovim emisijskim jedinicama pribrojit će se dodatnih 50 mil. jedinica koje neće biti iskorištene u razdoblju od 2013. do 2020. godine i ta bi sredstva poslužila za osnivanje Inovacijskog fonda (NER 400). Sredstva prikupljena u fondu bila bi namijenjena inovacijskim projektima (isključivo „prvima za određenu vrstu tehnologije“) obnovljivih izvora energije, </w:t>
      </w:r>
      <w:r w:rsidRPr="00D60728">
        <w:lastRenderedPageBreak/>
        <w:t xml:space="preserve">hvatanja i skladištenja ugljikovog dioksida i energetski intenzivnih industrija. Time bi se nastavilo s primjenom postojećeg mehanizma financiranja projekata, tzv. NER 300. </w:t>
      </w:r>
    </w:p>
    <w:p w:rsidR="00CB63E8" w:rsidRPr="00D60728" w:rsidRDefault="00CB63E8" w:rsidP="00BF7DCC">
      <w:pPr>
        <w:spacing w:line="240" w:lineRule="auto"/>
      </w:pPr>
    </w:p>
    <w:p w:rsidR="00CB63E8" w:rsidRPr="00D60728" w:rsidRDefault="00CB63E8" w:rsidP="00BF7DCC">
      <w:pPr>
        <w:spacing w:line="240" w:lineRule="auto"/>
        <w:rPr>
          <w:b/>
        </w:rPr>
      </w:pPr>
      <w:r w:rsidRPr="00D60728">
        <w:rPr>
          <w:b/>
        </w:rPr>
        <w:t>Ukoliko bi se za projekte u Republici Hrvatskoj ostvarilo financiranje iz fonda NER 400 sukladno udjelu broja stanovnika u EU, iznosilo bi oko 80 mil. EUR u razdoblju od 2021. do 2030. godine.</w:t>
      </w:r>
    </w:p>
    <w:p w:rsidR="00CB63E8" w:rsidRPr="00D60728" w:rsidRDefault="00CB63E8" w:rsidP="00BF7DCC">
      <w:pPr>
        <w:spacing w:line="240" w:lineRule="auto"/>
      </w:pPr>
    </w:p>
    <w:p w:rsidR="00CB63E8" w:rsidRPr="00D60728" w:rsidRDefault="00CB63E8" w:rsidP="00BF7DCC">
      <w:pPr>
        <w:keepNext/>
        <w:spacing w:line="240" w:lineRule="auto"/>
        <w:rPr>
          <w:u w:val="single"/>
        </w:rPr>
      </w:pPr>
      <w:r w:rsidRPr="00D60728">
        <w:rPr>
          <w:u w:val="single"/>
        </w:rPr>
        <w:t>Fond za povezivanje Europe (Connecting Europe Facility)</w:t>
      </w:r>
    </w:p>
    <w:p w:rsidR="00CB63E8" w:rsidRPr="00D60728" w:rsidRDefault="00CB63E8" w:rsidP="00BF7DCC">
      <w:pPr>
        <w:keepNext/>
        <w:spacing w:line="240" w:lineRule="auto"/>
      </w:pPr>
    </w:p>
    <w:p w:rsidR="00CB63E8" w:rsidRPr="00D60728" w:rsidRDefault="00CB63E8" w:rsidP="00BF7DCC">
      <w:pPr>
        <w:keepNext/>
        <w:spacing w:line="240" w:lineRule="auto"/>
      </w:pPr>
      <w:r w:rsidRPr="00D60728">
        <w:t>Connecting Europe Facility (CEF) je važan EU instrument za financiranje s ciljem promocije rasta, novih poslova i konkurentnosti kroz ulaganja u ciljanu infrastrukturu na razini EU. Podupire razvoj visokoučinkovitih i održivih trans-europskih mreža u području prometa, energije i digitalnih usluga. Kao takav značajnim dijelom omogućuje financiranje mjera koje doprinose niskougljičnom razvoju.</w:t>
      </w:r>
    </w:p>
    <w:p w:rsidR="00CB63E8" w:rsidRPr="00D60728" w:rsidRDefault="00CB63E8" w:rsidP="00BF7DCC">
      <w:pPr>
        <w:spacing w:line="240" w:lineRule="auto"/>
      </w:pPr>
    </w:p>
    <w:p w:rsidR="00CB63E8" w:rsidRPr="00D60728" w:rsidRDefault="00CB63E8" w:rsidP="00BF7DCC">
      <w:pPr>
        <w:spacing w:line="240" w:lineRule="auto"/>
      </w:pPr>
      <w:r w:rsidRPr="00D60728">
        <w:t>CEF daje bespovratna sredstva, ali i inovativne financijske instrumente kao što su garancije ili projektne obveznice. Na taj način se ostvaruje veći učinak sredstava te se pokreću investicije iz privatnog sektora i ostalih javnih mogućnosti.</w:t>
      </w:r>
    </w:p>
    <w:p w:rsidR="00CB63E8" w:rsidRPr="00D60728" w:rsidRDefault="00CB63E8" w:rsidP="00BF7DCC">
      <w:pPr>
        <w:spacing w:line="240" w:lineRule="auto"/>
      </w:pPr>
    </w:p>
    <w:p w:rsidR="00CB63E8" w:rsidRPr="00D60728" w:rsidRDefault="00CB63E8" w:rsidP="00BF7DCC">
      <w:pPr>
        <w:spacing w:line="240" w:lineRule="auto"/>
        <w:rPr>
          <w:b/>
        </w:rPr>
      </w:pPr>
      <w:r w:rsidRPr="00D60728">
        <w:rPr>
          <w:b/>
        </w:rPr>
        <w:t>Ukoliko bi se za projekte u Republici Hrvatskoj ostvarilo financiranje iz CEF sukladno udjelu broja stanovnika u EU, iznosilo bi oko 24 mil. EUR u razdoblju od 2021. do 2027. godine.</w:t>
      </w:r>
    </w:p>
    <w:p w:rsidR="00CB63E8" w:rsidRPr="00D60728" w:rsidRDefault="00CB63E8" w:rsidP="00BF7DCC">
      <w:pPr>
        <w:spacing w:line="240" w:lineRule="auto"/>
      </w:pPr>
    </w:p>
    <w:p w:rsidR="00CB63E8" w:rsidRPr="00D60728" w:rsidRDefault="00CB63E8" w:rsidP="00BF7DCC">
      <w:pPr>
        <w:keepNext/>
        <w:spacing w:line="240" w:lineRule="auto"/>
        <w:rPr>
          <w:u w:val="single"/>
        </w:rPr>
      </w:pPr>
      <w:r w:rsidRPr="00D60728">
        <w:rPr>
          <w:u w:val="single"/>
        </w:rPr>
        <w:t>Europski fond za strateška ulaganja (EFSU) i Fond InvestEU</w:t>
      </w:r>
    </w:p>
    <w:p w:rsidR="00CB63E8" w:rsidRPr="00D60728" w:rsidRDefault="00CB63E8" w:rsidP="00BF7DCC">
      <w:pPr>
        <w:keepNext/>
        <w:spacing w:line="240" w:lineRule="auto"/>
        <w:rPr>
          <w:u w:val="single"/>
        </w:rPr>
      </w:pPr>
    </w:p>
    <w:p w:rsidR="00CB63E8" w:rsidRPr="00D60728" w:rsidRDefault="00CB63E8" w:rsidP="00BF7DCC">
      <w:pPr>
        <w:keepNext/>
        <w:spacing w:line="240" w:lineRule="auto"/>
      </w:pPr>
      <w:r w:rsidRPr="00D60728">
        <w:t>Europski fond za strateška ulaganja (EFSU) ključan je element Plana ulaganja za Europu, čija je svrha poticanje dugoročnog gospodarskog rasta i konkurentnosti u EU. Cilj je tog fonda doprinijeti upotrebi javnih sredstava, među ostalim sredstava iz proračuna EU-a, kako bi se potaknula privatna ulaganja u širok raspon projekata u EU-u. Projektima su među ostalim obuhvaćena područja poput infrastrukture, istraživanja i inovacija, obrazovanja, zdravstva, informacijske i komunikacijske tehnologije.</w:t>
      </w:r>
    </w:p>
    <w:p w:rsidR="00CB63E8" w:rsidRPr="00D60728" w:rsidRDefault="00CB63E8" w:rsidP="00BF7DCC">
      <w:pPr>
        <w:spacing w:line="240" w:lineRule="auto"/>
      </w:pPr>
    </w:p>
    <w:p w:rsidR="00CB63E8" w:rsidRPr="00D60728" w:rsidRDefault="00CB63E8" w:rsidP="00BF7DCC">
      <w:pPr>
        <w:spacing w:line="240" w:lineRule="auto"/>
      </w:pPr>
      <w:r w:rsidRPr="00D60728">
        <w:t>Za sljedeći dugoročni proračun EU za razdoblje od 2021. do 2027. godine EK je u lipnju 2018. predložila uspostavu programa InvestEU, kojim će se objediniti financiranje iz proračuna EU u obliku kredita i jamstava. Trenutačno postoji 14 različitih instrumenata kojima se doprinosi potpori ulaganju u EU, a EFSU je najvažniji među njima. U skladu s prijedlogom iz proračuna EU osiguralo bi se jamstvo u iznosu od 38 mlrd. EUR za potporu strateški važnim projektima diljem EU. EK očekuje da će se fondom InvestEU privlačenjem privatnih i javnih ulaganja potaknuti dodatna ulaganja u iznosu većem od 650 mlrd. EUR u razdoblju od 2021. do 2027. godine. InvestEU namijenjen je za potporu održivoj infrastrukturi, istraživanjima, inovacijama i digitalizaciji, malim i srednjim poduzećima te socijalnim ulaganjima i vještinama.</w:t>
      </w:r>
    </w:p>
    <w:p w:rsidR="00CB63E8" w:rsidRPr="00D60728" w:rsidRDefault="00CB63E8" w:rsidP="00BF7DCC">
      <w:pPr>
        <w:spacing w:line="240" w:lineRule="auto"/>
        <w:rPr>
          <w:u w:val="single"/>
        </w:rPr>
      </w:pPr>
    </w:p>
    <w:p w:rsidR="00CB63E8" w:rsidRPr="00D60728" w:rsidRDefault="00CB63E8" w:rsidP="00BF7DCC">
      <w:pPr>
        <w:spacing w:line="240" w:lineRule="auto"/>
        <w:rPr>
          <w:u w:val="single"/>
        </w:rPr>
      </w:pPr>
      <w:r w:rsidRPr="00D60728">
        <w:t xml:space="preserve">Ukoliko se i u sljedećem razdoblju zadrži plan da se 40% sredstava ulaže u klimatske aktivnosti, </w:t>
      </w:r>
      <w:r w:rsidRPr="00D60728">
        <w:rPr>
          <w:b/>
        </w:rPr>
        <w:t>ciljano korištenje sredstava za ublažavanje klimatskih promjena za Republiku Hrvatsku u razdoblju od 2021. do 2027. godine iznosilo bi oko 60 mil. EUR</w:t>
      </w:r>
      <w:r w:rsidRPr="00D60728">
        <w:t xml:space="preserve"> (određeno prema udjelu broja stanovnika Republike Hrvatske u EU te uz pretpostavku da se 50% sredstava za klimatske aktivnosti odnosi na prilagodbu i 50% na ublažavanje klimatskih promjena), čime bi se mogle pokrenuti investicije u visini od oko 1 mlrd. EUR.</w:t>
      </w:r>
    </w:p>
    <w:p w:rsidR="00CB63E8" w:rsidRPr="00D60728" w:rsidRDefault="00CB63E8" w:rsidP="00BF7DCC">
      <w:pPr>
        <w:spacing w:line="240" w:lineRule="auto"/>
      </w:pPr>
    </w:p>
    <w:p w:rsidR="00CB63E8" w:rsidRPr="00D60728" w:rsidRDefault="00CB63E8" w:rsidP="00BF7DCC">
      <w:pPr>
        <w:keepNext/>
        <w:spacing w:line="240" w:lineRule="auto"/>
      </w:pPr>
      <w:r w:rsidRPr="00D60728">
        <w:rPr>
          <w:u w:val="single"/>
        </w:rPr>
        <w:lastRenderedPageBreak/>
        <w:t>Europski energetski program za oporavak (EEPR) i Europski fond za energetsku učinkovitost (EEEF)</w:t>
      </w:r>
    </w:p>
    <w:p w:rsidR="00CB63E8" w:rsidRPr="00D60728" w:rsidRDefault="00CB63E8" w:rsidP="00BF7DCC">
      <w:pPr>
        <w:keepNext/>
        <w:spacing w:line="240" w:lineRule="auto"/>
      </w:pPr>
    </w:p>
    <w:p w:rsidR="00CB63E8" w:rsidRPr="00D60728" w:rsidRDefault="00CB63E8" w:rsidP="00BF7DCC">
      <w:pPr>
        <w:keepNext/>
        <w:spacing w:line="240" w:lineRule="auto"/>
      </w:pPr>
      <w:r w:rsidRPr="00D60728">
        <w:t>Europski energetski program za oporavak (EEPR) omogućava odobrenje financijske pomoći u sektoru energetike, posebice za uvođenje međusobno povezanih infrastruktura, proizvodnju energije koja se temelji na obnovljivim izvorima, hvatanje ugljikovog dioksida i promicanje energetske učinkovitosti. Cilj programa je ostvarivanje ušteda u potrošnji primarne energije i smanjenju emisija stakleničkih plinova.</w:t>
      </w:r>
    </w:p>
    <w:p w:rsidR="00CB63E8" w:rsidRPr="00D60728" w:rsidRDefault="00CB63E8" w:rsidP="00BF7DCC">
      <w:pPr>
        <w:spacing w:line="240" w:lineRule="auto"/>
      </w:pPr>
    </w:p>
    <w:p w:rsidR="00CB63E8" w:rsidRPr="00D60728" w:rsidRDefault="00CB63E8" w:rsidP="00BF7DCC">
      <w:pPr>
        <w:spacing w:line="240" w:lineRule="auto"/>
      </w:pPr>
      <w:r w:rsidRPr="00D60728">
        <w:t xml:space="preserve">Proračun za razdoblje od 2014. do 2020. godine iznosi oko 30 mlrd. EUR. Kada bi se ovaj instrument zadržao i u razdoblju nakon 2020. godine s jednakim godišnjim financiranjem i namjenama, </w:t>
      </w:r>
      <w:r w:rsidRPr="00D60728">
        <w:rPr>
          <w:b/>
        </w:rPr>
        <w:t>ciljano kumulativno korištenje sredstava za Republiku Hrvatsku iznosilo bi oko 50 mil. EUR</w:t>
      </w:r>
      <w:r w:rsidRPr="00D60728">
        <w:t xml:space="preserve"> u razdoblju od 2021. do 2030. godine (određeno prema udjelu broja stanovnika Republike Hrvatske u EU).</w:t>
      </w:r>
    </w:p>
    <w:p w:rsidR="00CB63E8" w:rsidRPr="00D60728" w:rsidRDefault="00CB63E8" w:rsidP="00BF7DCC">
      <w:pPr>
        <w:spacing w:line="240" w:lineRule="auto"/>
      </w:pPr>
    </w:p>
    <w:p w:rsidR="00CB63E8" w:rsidRPr="00D60728" w:rsidRDefault="00CB63E8" w:rsidP="00BF7DCC">
      <w:pPr>
        <w:spacing w:line="240" w:lineRule="auto"/>
      </w:pPr>
      <w:r w:rsidRPr="00D60728">
        <w:t>U okviru Europskog fonda za energetsku učinkovitost (EEEF) obuhvaćena su namjenska financiranja projekata u područjima energetske učinkovitosti, obnovljivih izvora energije i čistog gradskog prijevoza. Korisnici su lokalna ili regionalna javna tijela ili privatni subjekti koji djeluju u njihovo ime.</w:t>
      </w:r>
    </w:p>
    <w:p w:rsidR="00CB63E8" w:rsidRPr="00D60728" w:rsidRDefault="00CB63E8" w:rsidP="00BF7DCC">
      <w:pPr>
        <w:spacing w:line="240" w:lineRule="auto"/>
      </w:pPr>
    </w:p>
    <w:p w:rsidR="00CB63E8" w:rsidRPr="00D60728" w:rsidRDefault="00CB63E8" w:rsidP="00BF7DCC">
      <w:pPr>
        <w:spacing w:line="240" w:lineRule="auto"/>
        <w:rPr>
          <w:u w:val="single"/>
        </w:rPr>
      </w:pPr>
      <w:r w:rsidRPr="00D60728">
        <w:rPr>
          <w:u w:val="single"/>
        </w:rPr>
        <w:t>Obzor 2020 i Obzor Europa</w:t>
      </w:r>
    </w:p>
    <w:p w:rsidR="00CB63E8" w:rsidRPr="00D60728" w:rsidRDefault="00CB63E8" w:rsidP="00BF7DCC">
      <w:pPr>
        <w:spacing w:line="240" w:lineRule="auto"/>
        <w:rPr>
          <w:u w:val="single"/>
        </w:rPr>
      </w:pPr>
    </w:p>
    <w:p w:rsidR="00CB63E8" w:rsidRPr="00D60728" w:rsidRDefault="00CB63E8" w:rsidP="00BF7DCC">
      <w:pPr>
        <w:spacing w:line="240" w:lineRule="auto"/>
      </w:pPr>
      <w:r w:rsidRPr="00D60728">
        <w:t xml:space="preserve">Obzor 2020 je najveći EU program za istraživanje i razvoj. Tijekom 2018. godine EK je najavila dosad najveći EU program za financiranje istraživanja i inovacija pod nazivom Obzor Europa (eng. </w:t>
      </w:r>
      <w:r w:rsidRPr="00D60728">
        <w:rPr>
          <w:i/>
        </w:rPr>
        <w:t>Horizon Europe</w:t>
      </w:r>
      <w:r w:rsidRPr="00D60728">
        <w:t>). Program se odnosi na razdoblje od 2021. do 2027. godine. Novi će se program oslanjati na dostignuća programa Obzor 2020 sa snažnijim naglaskom na postizanje rezultata iz područja medicine, hrane i klimatskih promjena. Budžet za sedmogodišnje razdoblje  iznosi 97,6 mlrd. EUR, a cilj je da se 35% sredstava uloži u projekte vezane uz ublažavanje klimatskih promjena.</w:t>
      </w:r>
    </w:p>
    <w:p w:rsidR="00CB63E8" w:rsidRPr="00D60728" w:rsidRDefault="00CB63E8" w:rsidP="00BF7DCC">
      <w:pPr>
        <w:spacing w:line="240" w:lineRule="auto"/>
      </w:pPr>
    </w:p>
    <w:p w:rsidR="00CB63E8" w:rsidRPr="00D60728" w:rsidRDefault="00CB63E8" w:rsidP="00BF7DCC">
      <w:pPr>
        <w:spacing w:line="240" w:lineRule="auto"/>
      </w:pPr>
      <w:r w:rsidRPr="00D60728">
        <w:t xml:space="preserve">Ukoliko će se Republika Hrvatska ravnopravno uključiti u projekte financirane iz Obzor Europa programa, sredstva za ublažavanje klimatskih promjena za Republiku Hrvatsku iznosila bi </w:t>
      </w:r>
      <w:r w:rsidRPr="00D60728">
        <w:rPr>
          <w:b/>
        </w:rPr>
        <w:t>oko 270 mil. EUR kumulativno u razdoblju od 2021. do 2027. godine</w:t>
      </w:r>
      <w:r w:rsidRPr="00D60728">
        <w:t xml:space="preserve"> (određeno prema udjela broja stanovnika Republike Hrvatske u EU te uzevši u obzir planirano ulaganje od 35% u projekte za ublažavanje klimatskih promjena).</w:t>
      </w:r>
    </w:p>
    <w:p w:rsidR="00CB63E8" w:rsidRPr="00D60728" w:rsidRDefault="00CB63E8" w:rsidP="00BF7DCC">
      <w:pPr>
        <w:spacing w:line="240" w:lineRule="auto"/>
      </w:pPr>
    </w:p>
    <w:p w:rsidR="00CB63E8" w:rsidRPr="00D60728" w:rsidRDefault="00CB63E8" w:rsidP="00BF7DCC">
      <w:pPr>
        <w:spacing w:line="240" w:lineRule="auto"/>
        <w:rPr>
          <w:u w:val="single"/>
        </w:rPr>
      </w:pPr>
      <w:r w:rsidRPr="00D60728">
        <w:rPr>
          <w:u w:val="single"/>
        </w:rPr>
        <w:t>LIFE program</w:t>
      </w:r>
    </w:p>
    <w:p w:rsidR="00CB63E8" w:rsidRPr="00D60728" w:rsidRDefault="00CB63E8" w:rsidP="00BF7DCC">
      <w:pPr>
        <w:spacing w:line="240" w:lineRule="auto"/>
        <w:rPr>
          <w:u w:val="single"/>
        </w:rPr>
      </w:pPr>
    </w:p>
    <w:p w:rsidR="00CB63E8" w:rsidRPr="00D60728" w:rsidRDefault="00CB63E8" w:rsidP="00BF7DCC">
      <w:pPr>
        <w:spacing w:line="240" w:lineRule="auto"/>
      </w:pPr>
      <w:r w:rsidRPr="00D60728">
        <w:t>LIFE program je financijski instrument EU za potporu projektima iz područja zaštite okoliša, očuvanja prirode i klimatske aktivnosti u EU. Prema prijedlogu za razdoblje od 2021. do 2027. godine EK namjerava dodijeliti 5,45 mlrd. EUR projektima vezanim uz zaštitu okoliša i klimatske aktivnosti..</w:t>
      </w:r>
    </w:p>
    <w:p w:rsidR="00CB63E8" w:rsidRPr="00D60728" w:rsidRDefault="00CB63E8" w:rsidP="00BF7DCC">
      <w:pPr>
        <w:spacing w:line="240" w:lineRule="auto"/>
      </w:pPr>
    </w:p>
    <w:p w:rsidR="00CB63E8" w:rsidRPr="00D60728" w:rsidRDefault="00CB63E8" w:rsidP="00BF7DCC">
      <w:pPr>
        <w:spacing w:line="240" w:lineRule="auto"/>
      </w:pPr>
      <w:r w:rsidRPr="00D60728">
        <w:t xml:space="preserve">Ciljano korištenje sredstava za ublažavanje klimatskih promjena za Republiku Hrvatsku </w:t>
      </w:r>
      <w:r w:rsidRPr="00D60728">
        <w:rPr>
          <w:b/>
        </w:rPr>
        <w:t>iznosilo bi oko 17 mil. EUR kumulativno u razdoblju od 2021. do 2027. godine</w:t>
      </w:r>
      <w:r w:rsidRPr="00D60728">
        <w:t xml:space="preserve"> (određeno prema udjelu broja stanovnika Republike Hrvatske u EU te uz pretpostavku da se 40% sredstava odnosi na ublažavanje klimatskih promjena).</w:t>
      </w:r>
    </w:p>
    <w:p w:rsidR="00CB63E8" w:rsidRPr="00D60728" w:rsidRDefault="00CB63E8" w:rsidP="00BF7DCC">
      <w:pPr>
        <w:spacing w:line="240" w:lineRule="auto"/>
      </w:pPr>
    </w:p>
    <w:p w:rsidR="00CB63E8" w:rsidRPr="00D60728" w:rsidRDefault="00CB63E8" w:rsidP="00BF7DCC">
      <w:pPr>
        <w:spacing w:line="240" w:lineRule="auto"/>
        <w:rPr>
          <w:u w:val="single"/>
        </w:rPr>
      </w:pPr>
      <w:r w:rsidRPr="00D60728">
        <w:rPr>
          <w:u w:val="single"/>
        </w:rPr>
        <w:t>Europski fond za regionalni razvoj (EFRR)</w:t>
      </w:r>
    </w:p>
    <w:p w:rsidR="00CB63E8" w:rsidRPr="00D60728" w:rsidRDefault="00CB63E8" w:rsidP="00BF7DCC">
      <w:pPr>
        <w:spacing w:line="240" w:lineRule="auto"/>
      </w:pPr>
    </w:p>
    <w:p w:rsidR="00CB63E8" w:rsidRPr="00D60728" w:rsidRDefault="00CB63E8" w:rsidP="00BF7DCC">
      <w:pPr>
        <w:spacing w:line="240" w:lineRule="auto"/>
      </w:pPr>
      <w:r w:rsidRPr="00D60728">
        <w:t>U okviru regionalnog razvoja i kohezije za razdoblje od 2021. do 2027. godine prioritet investicija će se dati na razvoj zelenije, niskougljične Europe te poticanje inovacija. Iako ukupni budžet još nije objavljen, plan je da će se 65 do 85% budžeta usmjeriti za navedene ciljeve. Sredstva će se dodjeljivati pojedinim zemljama članicama ovisno o relativnom bogatstvu zemlje. Ostali ciljevi koji će biti podržani od strane EFRR su promet i povezanost, društvo i ljudska prava te lokalni održivi razvoj.</w:t>
      </w:r>
    </w:p>
    <w:p w:rsidR="00CB63E8" w:rsidRPr="00D60728" w:rsidRDefault="00CB63E8" w:rsidP="00BF7DCC">
      <w:pPr>
        <w:spacing w:line="240" w:lineRule="auto"/>
      </w:pPr>
    </w:p>
    <w:p w:rsidR="00CB63E8" w:rsidRPr="00D60728" w:rsidRDefault="00CB63E8" w:rsidP="00BF7DCC">
      <w:pPr>
        <w:keepNext/>
        <w:spacing w:line="240" w:lineRule="auto"/>
        <w:rPr>
          <w:u w:val="single"/>
        </w:rPr>
      </w:pPr>
      <w:r w:rsidRPr="00D60728">
        <w:rPr>
          <w:u w:val="single"/>
        </w:rPr>
        <w:t>Interreg: Europska teritorijalna suradnja (ETC)</w:t>
      </w:r>
    </w:p>
    <w:p w:rsidR="00CB63E8" w:rsidRPr="00D60728" w:rsidRDefault="00CB63E8" w:rsidP="00BF7DCC">
      <w:pPr>
        <w:keepNext/>
        <w:spacing w:line="240" w:lineRule="auto"/>
      </w:pPr>
    </w:p>
    <w:p w:rsidR="00CB63E8" w:rsidRPr="00D60728" w:rsidRDefault="00CB63E8" w:rsidP="00BF7DCC">
      <w:pPr>
        <w:keepNext/>
        <w:spacing w:line="240" w:lineRule="auto"/>
      </w:pPr>
      <w:r w:rsidRPr="00D60728">
        <w:t xml:space="preserve">Program je pokrenut s ciljem jačanja učinaka Kohezijske politike EU u razdoblju od 2014. do 2020. godine. Cilj je smanjiti postojeće nejednakosti između regija EU u pogledu njihovog ekonomskog i društvenog razvoja i održivosti okoliša, pritom uzimajući u obzir njihove specifične prostorne značajke i mogućnosti. </w:t>
      </w:r>
    </w:p>
    <w:p w:rsidR="00CB63E8" w:rsidRPr="00D60728" w:rsidRDefault="00CB63E8" w:rsidP="00BF7DCC">
      <w:pPr>
        <w:keepNext/>
        <w:spacing w:line="240" w:lineRule="auto"/>
      </w:pPr>
    </w:p>
    <w:p w:rsidR="00CB63E8" w:rsidRPr="00D60728" w:rsidRDefault="00CB63E8" w:rsidP="00BF7DCC">
      <w:pPr>
        <w:keepNext/>
        <w:spacing w:line="240" w:lineRule="auto"/>
      </w:pPr>
      <w:r w:rsidRPr="00D60728">
        <w:t>Sredstva su namijenjena za 11 investicijskih prioriteta, među kojima su i niskougljična ekonomija, ublažavanje klimatskih promjena, okoliš i učinkovitost resursa te održivi transport.</w:t>
      </w:r>
    </w:p>
    <w:p w:rsidR="00CB63E8" w:rsidRPr="00D60728" w:rsidRDefault="00CB63E8" w:rsidP="00BF7DCC">
      <w:pPr>
        <w:spacing w:line="240" w:lineRule="auto"/>
      </w:pPr>
    </w:p>
    <w:p w:rsidR="00CB63E8" w:rsidRPr="00D60728" w:rsidRDefault="00CB63E8" w:rsidP="00BF7DCC">
      <w:pPr>
        <w:spacing w:line="240" w:lineRule="auto"/>
      </w:pPr>
      <w:r w:rsidRPr="00D60728">
        <w:t xml:space="preserve">Nova generacija ETC programa najavljena je za razdoblje od 2021. do 2027. godine. Predloženi budžet koji ide na odobravanje u Europski parlament krajem 2019. godine iznosi 8,43 mlrd. EUR. Ukoliko bude odobren i s pretpostavkom da će 25% budžeta biti namijenjeno za mjere niskougljične strategije, </w:t>
      </w:r>
      <w:r w:rsidRPr="00D60728">
        <w:rPr>
          <w:b/>
        </w:rPr>
        <w:t>ciljano korištenje sredstava za Republiku Hrvatsku bilo bi 16 mil. EUR u razdoblju od 2021. do 2027. godine</w:t>
      </w:r>
      <w:r w:rsidRPr="00D60728">
        <w:t xml:space="preserve"> (određeno prema udjelu broja stanovnika Republike Hrvatske u EU).</w:t>
      </w:r>
    </w:p>
    <w:p w:rsidR="00CB63E8" w:rsidRPr="00D60728" w:rsidRDefault="00CB63E8" w:rsidP="00BF7DCC">
      <w:pPr>
        <w:spacing w:line="240" w:lineRule="auto"/>
        <w:rPr>
          <w:u w:val="single"/>
        </w:rPr>
      </w:pPr>
    </w:p>
    <w:p w:rsidR="00CB63E8" w:rsidRPr="00D60728" w:rsidRDefault="00CB63E8" w:rsidP="00BF7DCC">
      <w:pPr>
        <w:keepNext/>
        <w:spacing w:line="240" w:lineRule="auto"/>
        <w:rPr>
          <w:u w:val="single"/>
        </w:rPr>
      </w:pPr>
      <w:r w:rsidRPr="00D60728">
        <w:rPr>
          <w:u w:val="single"/>
        </w:rPr>
        <w:t>Proračun Republike Hrvatske</w:t>
      </w:r>
    </w:p>
    <w:p w:rsidR="00CB63E8" w:rsidRPr="00D60728" w:rsidRDefault="00CB63E8" w:rsidP="00BF7DCC">
      <w:pPr>
        <w:keepNext/>
        <w:spacing w:line="240" w:lineRule="auto"/>
        <w:rPr>
          <w:u w:val="single"/>
        </w:rPr>
      </w:pPr>
    </w:p>
    <w:p w:rsidR="00CB63E8" w:rsidRPr="00D60728" w:rsidRDefault="00CB63E8" w:rsidP="00BF7DCC">
      <w:pPr>
        <w:keepNext/>
        <w:spacing w:line="240" w:lineRule="auto"/>
      </w:pPr>
      <w:r w:rsidRPr="00D60728">
        <w:t xml:space="preserve">Sredstva iz proračuna Republike Hrvatske prvenstveno su namijenjena za troškove administracije te sufinanciranja oko 15% troškova mjera temeljem EU strukturnih i investicijskih fondova.  </w:t>
      </w:r>
    </w:p>
    <w:p w:rsidR="00CB63E8" w:rsidRPr="00D60728" w:rsidRDefault="00CB63E8" w:rsidP="00BF7DCC">
      <w:pPr>
        <w:spacing w:line="240" w:lineRule="auto"/>
      </w:pPr>
    </w:p>
    <w:p w:rsidR="00CB63E8" w:rsidRPr="00D60728" w:rsidRDefault="00CB63E8" w:rsidP="00BF7DCC">
      <w:pPr>
        <w:spacing w:line="240" w:lineRule="auto"/>
      </w:pPr>
      <w:r w:rsidRPr="00D60728">
        <w:t xml:space="preserve">U razdoblju od 2021. do 2030. godine </w:t>
      </w:r>
      <w:r w:rsidRPr="00D60728">
        <w:rPr>
          <w:b/>
        </w:rPr>
        <w:t xml:space="preserve">kumulativno korištenje sredstava proračuna </w:t>
      </w:r>
      <w:r w:rsidRPr="00D60728">
        <w:t>Republike Hrvatske</w:t>
      </w:r>
      <w:r w:rsidRPr="00D60728">
        <w:rPr>
          <w:b/>
        </w:rPr>
        <w:t xml:space="preserve"> moglo bi iznositi oko 470 mil. EUR</w:t>
      </w:r>
      <w:r w:rsidRPr="00D60728">
        <w:t>.</w:t>
      </w:r>
    </w:p>
    <w:p w:rsidR="00CB63E8" w:rsidRPr="00D60728" w:rsidRDefault="00CB63E8" w:rsidP="00BF7DCC">
      <w:pPr>
        <w:spacing w:line="240" w:lineRule="auto"/>
        <w:rPr>
          <w:u w:val="single"/>
        </w:rPr>
      </w:pPr>
    </w:p>
    <w:p w:rsidR="00CB63E8" w:rsidRPr="00D60728" w:rsidRDefault="00CB63E8" w:rsidP="00BF7DCC">
      <w:pPr>
        <w:keepNext/>
        <w:spacing w:line="240" w:lineRule="auto"/>
        <w:rPr>
          <w:u w:val="single"/>
        </w:rPr>
      </w:pPr>
      <w:r w:rsidRPr="00D60728">
        <w:rPr>
          <w:u w:val="single"/>
        </w:rPr>
        <w:t xml:space="preserve">Financiranje provedbe mjera na osnovu sustava obveze energetske učinkovitosti sukladno Direktivi 2012/27/EU o energetskoj učinkovitosti </w:t>
      </w:r>
    </w:p>
    <w:p w:rsidR="00CB63E8" w:rsidRPr="00D60728" w:rsidRDefault="00CB63E8" w:rsidP="00BF7DCC">
      <w:pPr>
        <w:keepNext/>
        <w:spacing w:line="240" w:lineRule="auto"/>
      </w:pPr>
    </w:p>
    <w:p w:rsidR="00CB63E8" w:rsidRPr="00D60728" w:rsidRDefault="00CB63E8" w:rsidP="00BF7DCC">
      <w:pPr>
        <w:spacing w:line="240" w:lineRule="auto"/>
      </w:pPr>
      <w:r w:rsidRPr="00D60728">
        <w:t xml:space="preserve">Opskrbljivači energije dužni su provoditi mjere energetske učinkovitosti kod krajnjih potrošača. Ciljevi su zadani Sustavom obveze energetske učinkovitosti. Očekuje se da će se troškovi ovih mjera najvećim dijelom prebaciti  na potrošače. Ukoliko obveznici ne ostvare propisane uštede, plaćati će naknadu u FZOEU. Ovo će biti značajan izvor financiranja. </w:t>
      </w:r>
    </w:p>
    <w:p w:rsidR="00CB63E8" w:rsidRPr="00D60728" w:rsidRDefault="00CB63E8" w:rsidP="00BF7DCC">
      <w:pPr>
        <w:spacing w:line="240" w:lineRule="auto"/>
      </w:pPr>
    </w:p>
    <w:p w:rsidR="00CB63E8" w:rsidRPr="00D60728" w:rsidRDefault="00CB63E8" w:rsidP="00BF7DCC">
      <w:pPr>
        <w:spacing w:line="240" w:lineRule="auto"/>
      </w:pPr>
      <w:r w:rsidRPr="00D60728">
        <w:t xml:space="preserve">Godišnja moguća sredstva u razdoblju od 2021. do 2030. godine ovisiti će o opsegu sustava, odnosno o kombinaciji s alternativnim mjerama politike te uspjehu obveznika u provođenju mjera. </w:t>
      </w:r>
    </w:p>
    <w:p w:rsidR="00CB63E8" w:rsidRPr="00D60728" w:rsidRDefault="00CB63E8" w:rsidP="00BF7DCC">
      <w:pPr>
        <w:spacing w:line="240" w:lineRule="auto"/>
      </w:pPr>
    </w:p>
    <w:p w:rsidR="00CB63E8" w:rsidRPr="00D60728" w:rsidRDefault="00CB63E8" w:rsidP="00BF7DCC">
      <w:pPr>
        <w:spacing w:line="240" w:lineRule="auto"/>
      </w:pPr>
      <w:r w:rsidRPr="00D60728">
        <w:t xml:space="preserve">Kada bi se 40% obveza ušteda energije prema članku 7. Direktive 2012/27/EU ostvarilo kroz sustav obveza energetske učinkovitosti, </w:t>
      </w:r>
      <w:r w:rsidRPr="00D60728">
        <w:rPr>
          <w:b/>
        </w:rPr>
        <w:t>trošak bi mogao biti oko 350 mil. EUR</w:t>
      </w:r>
      <w:r w:rsidRPr="00D60728">
        <w:t xml:space="preserve"> kumulativno u razdoblju od 2021. do 2030. godine.</w:t>
      </w:r>
    </w:p>
    <w:p w:rsidR="00CB63E8" w:rsidRPr="00D60728" w:rsidRDefault="00CB63E8" w:rsidP="00BF7DCC">
      <w:pPr>
        <w:spacing w:line="240" w:lineRule="auto"/>
        <w:rPr>
          <w:u w:val="single"/>
        </w:rPr>
      </w:pPr>
    </w:p>
    <w:p w:rsidR="00CB63E8" w:rsidRPr="00D60728" w:rsidRDefault="00CB63E8" w:rsidP="00BF7DCC">
      <w:pPr>
        <w:keepNext/>
        <w:spacing w:line="240" w:lineRule="auto"/>
        <w:rPr>
          <w:u w:val="single"/>
        </w:rPr>
      </w:pPr>
      <w:r w:rsidRPr="00D60728">
        <w:rPr>
          <w:u w:val="single"/>
        </w:rPr>
        <w:t>Naknada za emisije CO</w:t>
      </w:r>
      <w:r w:rsidRPr="00D60728">
        <w:rPr>
          <w:u w:val="single"/>
          <w:vertAlign w:val="subscript"/>
        </w:rPr>
        <w:t>2</w:t>
      </w:r>
    </w:p>
    <w:p w:rsidR="00CB63E8" w:rsidRPr="00D60728" w:rsidRDefault="00CB63E8" w:rsidP="00BF7DCC">
      <w:pPr>
        <w:keepNext/>
        <w:spacing w:line="240" w:lineRule="auto"/>
      </w:pPr>
    </w:p>
    <w:p w:rsidR="00CB63E8" w:rsidRPr="00D60728" w:rsidRDefault="00CB63E8" w:rsidP="00BF7DCC">
      <w:pPr>
        <w:keepNext/>
        <w:spacing w:line="240" w:lineRule="auto"/>
      </w:pPr>
      <w:r w:rsidRPr="00D60728">
        <w:t>U Republici Hrvatskoj postoji naknada na emisije CO</w:t>
      </w:r>
      <w:r w:rsidRPr="00D60728">
        <w:rPr>
          <w:vertAlign w:val="subscript"/>
        </w:rPr>
        <w:t>2</w:t>
      </w:r>
      <w:r w:rsidRPr="00D60728">
        <w:t>, za dvije skupine izvora. Naplata postoji za operatere postrojenja uključenih u ETS koji imaju emisije manje od 25 kt godišnje i isključili su se iz ETS-a, ali moraju provoditi mjere za postizanje ekvivalentnog doprinosa smanjenju emisija s verificiranim emisijama. MZOE odlukom propisuje iznos jedinične naknade, ovisno o prosječnoj cijeni emisijskih jedinica u ETS-u. Druga grupa su svi emiteri iz Registra onečišćavanja okoliša koji imaju emisije veće od 450 t CO</w:t>
      </w:r>
      <w:r w:rsidRPr="00D60728">
        <w:rPr>
          <w:vertAlign w:val="subscript"/>
        </w:rPr>
        <w:t>2</w:t>
      </w:r>
      <w:r w:rsidRPr="00D60728">
        <w:t xml:space="preserve"> godišnje. To su mala industrijska postrojenja i svi drugi objekti.</w:t>
      </w:r>
    </w:p>
    <w:p w:rsidR="00CB63E8" w:rsidRPr="00D60728" w:rsidRDefault="00CB63E8" w:rsidP="00BF7DCC">
      <w:pPr>
        <w:spacing w:line="240" w:lineRule="auto"/>
      </w:pPr>
    </w:p>
    <w:p w:rsidR="00CB63E8" w:rsidRPr="00D60728" w:rsidRDefault="00CB63E8" w:rsidP="00BF7DCC">
      <w:pPr>
        <w:spacing w:line="240" w:lineRule="auto"/>
      </w:pPr>
      <w:r w:rsidRPr="00D60728">
        <w:t>Uvođenjem opće naknade na emisije CO</w:t>
      </w:r>
      <w:r w:rsidRPr="00D60728">
        <w:rPr>
          <w:vertAlign w:val="subscript"/>
        </w:rPr>
        <w:t>2</w:t>
      </w:r>
      <w:r w:rsidRPr="00D60728">
        <w:t xml:space="preserve"> za izgaranje fosilnog goriva u sektorima izvan ETS-a moguće je prikupiti značajna sredstva, to bi mogao biti temeljni financijski stup politike vezano za klimatske promjene. Ako bi naknada bila istog iznosa kao cijene emisijskih jedinica u ETS sektoru, moglo bi se u 2030. godini prikupiti 280 mil. EUR godišnje. Međutim, ovime bi došlo do dodatnog troška za industriju izvan ETS-a, analiza energetski intenzivne industrije u Hrvatskoj je pokazala da djelovanje na poslovanje počinje biti značajno između 10 i 15 EUR/t CO</w:t>
      </w:r>
      <w:r w:rsidRPr="00D60728">
        <w:rPr>
          <w:vertAlign w:val="subscript"/>
        </w:rPr>
        <w:t>2</w:t>
      </w:r>
      <w:r w:rsidRPr="00D60728">
        <w:rPr>
          <w:vertAlign w:val="superscript"/>
        </w:rPr>
        <w:footnoteReference w:id="3"/>
      </w:r>
      <w:r w:rsidRPr="00D60728">
        <w:t xml:space="preserve">. Također, u kućnom proračunu to bi bilo oko 90-120 EUR godišnje do 2030. godine. </w:t>
      </w:r>
    </w:p>
    <w:p w:rsidR="00CB63E8" w:rsidRPr="00D60728" w:rsidRDefault="00CB63E8" w:rsidP="00BF7DCC">
      <w:pPr>
        <w:spacing w:line="240" w:lineRule="auto"/>
      </w:pPr>
    </w:p>
    <w:p w:rsidR="00CB63E8" w:rsidRPr="00D60728" w:rsidRDefault="00CB63E8" w:rsidP="00BF7DCC">
      <w:pPr>
        <w:spacing w:line="240" w:lineRule="auto"/>
        <w:rPr>
          <w:u w:val="single"/>
        </w:rPr>
      </w:pPr>
      <w:r w:rsidRPr="00D60728">
        <w:rPr>
          <w:u w:val="single"/>
        </w:rPr>
        <w:t xml:space="preserve">Naknada za proizvodnju električne energije iz obnovljivih izvora energije </w:t>
      </w:r>
    </w:p>
    <w:p w:rsidR="00CB63E8" w:rsidRPr="00D60728" w:rsidRDefault="00CB63E8" w:rsidP="00BF7DCC">
      <w:pPr>
        <w:spacing w:line="240" w:lineRule="auto"/>
        <w:rPr>
          <w:i/>
        </w:rPr>
      </w:pPr>
    </w:p>
    <w:p w:rsidR="00CB63E8" w:rsidRPr="00D60728" w:rsidRDefault="00CB63E8" w:rsidP="00BF7DCC">
      <w:pPr>
        <w:spacing w:line="240" w:lineRule="auto"/>
        <w:rPr>
          <w:color w:val="000000"/>
        </w:rPr>
      </w:pPr>
      <w:bookmarkStart w:id="52" w:name="_GoBack"/>
      <w:r w:rsidRPr="00D60728">
        <w:t xml:space="preserve">Visina naknade za poticanje proizvodnje električne energije iz obnovljivih izvora iznosi 0,1050 kn/kWh + PDV za sve kupce električne energije. Iznimno, za kupce električne energije koji su sukladno Zakonu o zaštiti zraka, obveznici ishođenja dozvole za emisije stakleničkih plinova, iznosi 0,007 kn/kWh. </w:t>
      </w:r>
      <w:r w:rsidRPr="00D60728">
        <w:rPr>
          <w:color w:val="000000"/>
        </w:rPr>
        <w:t xml:space="preserve">Sredstva naknade za poticanje koriste se za isplatu poticajne cijene električne energije povlaštenim proizvođačima koji su u sustavu poticanja proizvodnje električne energije za isporučenu električnu energiju sukladno odredbama tarifnog sustava za proizvodnju električne energije iz obnovljivih izvora energije i visokoučinkovite kogeneracije (tzv. feed-in tarife). </w:t>
      </w:r>
    </w:p>
    <w:p w:rsidR="00CB63E8" w:rsidRPr="00D60728" w:rsidRDefault="00CB63E8" w:rsidP="00BF7DCC">
      <w:pPr>
        <w:spacing w:line="240" w:lineRule="auto"/>
        <w:rPr>
          <w:i/>
        </w:rPr>
      </w:pPr>
    </w:p>
    <w:bookmarkEnd w:id="52"/>
    <w:p w:rsidR="00CB63E8" w:rsidRPr="00D60728" w:rsidRDefault="00CB63E8" w:rsidP="00BF7DCC">
      <w:pPr>
        <w:spacing w:line="240" w:lineRule="auto"/>
        <w:rPr>
          <w:u w:val="single"/>
        </w:rPr>
      </w:pPr>
      <w:r w:rsidRPr="00D60728">
        <w:rPr>
          <w:u w:val="single"/>
        </w:rPr>
        <w:t>Kreditne linije poslovnih banaka</w:t>
      </w:r>
    </w:p>
    <w:p w:rsidR="00CB63E8" w:rsidRPr="00D60728" w:rsidRDefault="00CB63E8" w:rsidP="00BF7DCC">
      <w:pPr>
        <w:spacing w:line="240" w:lineRule="auto"/>
      </w:pPr>
    </w:p>
    <w:p w:rsidR="00CB63E8" w:rsidRPr="00D60728" w:rsidRDefault="00CB63E8" w:rsidP="00BF7DCC">
      <w:pPr>
        <w:spacing w:line="240" w:lineRule="auto"/>
      </w:pPr>
      <w:r w:rsidRPr="00D60728">
        <w:t>Brojne poslovne banke su u svoje ponude uvrstile različite kreditne linije i modele financiranja kao temelj za strateško opredjeljenje da ponude financijska rješenja za projekte energetske učinkovitosti i obnovljivih izvora energije te da povećaju sudjelovanje na ovom rastućem tržištu energije.</w:t>
      </w:r>
    </w:p>
    <w:p w:rsidR="00CB63E8" w:rsidRPr="00D60728" w:rsidRDefault="00CB63E8" w:rsidP="00BF7DCC">
      <w:pPr>
        <w:spacing w:line="240" w:lineRule="auto"/>
      </w:pPr>
    </w:p>
    <w:p w:rsidR="00CB63E8" w:rsidRPr="00D60728" w:rsidRDefault="00CB63E8" w:rsidP="00BF7DCC">
      <w:pPr>
        <w:spacing w:line="240" w:lineRule="auto"/>
      </w:pPr>
      <w:r w:rsidRPr="00D60728">
        <w:t>Neke poslovne banke već djeluju kao partneri HBOR-a te kao partneri na velikim europskim kreditnim linijama. Pregledom svih modela financiranja od strane poslovnih banaka uočava se širok spektar kreditnih linija s različitim kamatnim stopama, uvjetima odobravanja samog kredita i rokovima otplate prilagođenima svakoj pojedinoj namjeni financiranja.</w:t>
      </w:r>
    </w:p>
    <w:p w:rsidR="00CB63E8" w:rsidRPr="00D60728" w:rsidRDefault="00CB63E8" w:rsidP="00BF7DCC">
      <w:pPr>
        <w:spacing w:line="240" w:lineRule="auto"/>
      </w:pPr>
    </w:p>
    <w:p w:rsidR="00CB63E8" w:rsidRPr="00D60728" w:rsidRDefault="00CB63E8" w:rsidP="00BF7DCC">
      <w:pPr>
        <w:spacing w:line="240" w:lineRule="auto"/>
      </w:pPr>
      <w:r w:rsidRPr="00D60728">
        <w:t xml:space="preserve">Krediti banaka su obično raspoloživi za nove projekte u razvoju naprednih tehnologija. Kreditne linije za projekte za smanjenje emisije u industriji i velikim poduzećima nisu bile raspoložive, osim po komercijalnim uvjetima. Banke posuđuju novac uz kamate koje mogu biti manje ili više povoljne, sa ili bez odgode, uz manje ili veće garancijske zahtjeve. U posljednje </w:t>
      </w:r>
      <w:r w:rsidRPr="00D60728">
        <w:lastRenderedPageBreak/>
        <w:t xml:space="preserve">vrijeme javljaju se ideje o etičkim bankama i zadrugama, s ciljem ulaganja u zelene poslove, obično s manjim kamatnim stopama i besplatnom pomoći za razvoj projekata. </w:t>
      </w:r>
    </w:p>
    <w:p w:rsidR="00CB63E8" w:rsidRPr="00D60728" w:rsidRDefault="00CB63E8" w:rsidP="00BF7DCC">
      <w:pPr>
        <w:spacing w:line="240" w:lineRule="auto"/>
      </w:pPr>
    </w:p>
    <w:p w:rsidR="00CB63E8" w:rsidRPr="00D60728" w:rsidRDefault="00CB63E8" w:rsidP="00BF7DCC">
      <w:pPr>
        <w:spacing w:line="240" w:lineRule="auto"/>
        <w:rPr>
          <w:u w:val="single"/>
        </w:rPr>
      </w:pPr>
      <w:r w:rsidRPr="00D60728">
        <w:rPr>
          <w:u w:val="single"/>
        </w:rPr>
        <w:t xml:space="preserve">ESCO </w:t>
      </w:r>
      <w:r w:rsidR="00E006B9" w:rsidRPr="00D60728">
        <w:rPr>
          <w:u w:val="single"/>
        </w:rPr>
        <w:t>modeli financiranja</w:t>
      </w:r>
    </w:p>
    <w:p w:rsidR="00CB63E8" w:rsidRPr="00D60728" w:rsidRDefault="00CB63E8" w:rsidP="00BF7DCC">
      <w:pPr>
        <w:spacing w:line="240" w:lineRule="auto"/>
      </w:pPr>
    </w:p>
    <w:p w:rsidR="00CB63E8" w:rsidRPr="00D60728" w:rsidRDefault="00CB63E8" w:rsidP="00BF7DCC">
      <w:pPr>
        <w:spacing w:line="240" w:lineRule="auto"/>
      </w:pPr>
      <w:r w:rsidRPr="00D60728">
        <w:t xml:space="preserve">ESCO (eng. </w:t>
      </w:r>
      <w:r w:rsidRPr="00D60728">
        <w:rPr>
          <w:i/>
        </w:rPr>
        <w:t>Energy Service Company</w:t>
      </w:r>
      <w:r w:rsidRPr="00D60728">
        <w:t>)  je poslovni model u kojem tvrtka ulaže vlastita sredstva, radnu snagu i tehnologiju, a naplaćuje se isključivo iz dijela ostvarene uštede. ESCO tržište u Hrvatskoj nije osobito razvijeno, uglavnom zbog neriješenog problema podjele rizika. ESCO tvrtke nemaju dovoljno vlastitog kapitala da bi mogle aktivno sudjelovati u preuzimanju dijela financijskih rizika krajnjih korisnika (potrošača energije), a krajnji potrošači nisu spremni na preuzimanje rizika ako u financijskoj strukturi nisu osigurani poticaji. Tehnološke promjene (pad investicijskih troškova) i stjecanje znanja u strukturiranju poticaja s vremenom će pridonijeti bržem razvoju ESCO tržišta u Republici Hrvatskoj.</w:t>
      </w:r>
    </w:p>
    <w:p w:rsidR="00CB63E8" w:rsidRPr="00D60728" w:rsidRDefault="00CB63E8" w:rsidP="00BF7DCC">
      <w:pPr>
        <w:spacing w:line="240" w:lineRule="auto"/>
      </w:pPr>
    </w:p>
    <w:p w:rsidR="004818A3" w:rsidRPr="00D60728" w:rsidRDefault="004818A3" w:rsidP="00BF7DCC">
      <w:pPr>
        <w:spacing w:line="240" w:lineRule="auto"/>
      </w:pPr>
    </w:p>
    <w:p w:rsidR="004818A3" w:rsidRPr="00D60728" w:rsidRDefault="004818A3" w:rsidP="00BF7DCC">
      <w:pPr>
        <w:spacing w:line="240" w:lineRule="auto"/>
        <w:rPr>
          <w:sz w:val="20"/>
          <w:szCs w:val="20"/>
        </w:rPr>
      </w:pPr>
    </w:p>
    <w:p w:rsidR="0050395C" w:rsidRDefault="0050395C">
      <w:pPr>
        <w:spacing w:line="240" w:lineRule="auto"/>
        <w:jc w:val="left"/>
        <w:rPr>
          <w:b/>
          <w:bCs/>
          <w:kern w:val="32"/>
          <w:sz w:val="32"/>
          <w:szCs w:val="32"/>
        </w:rPr>
      </w:pPr>
      <w:bookmarkStart w:id="53" w:name="_Toc24632371"/>
      <w:bookmarkStart w:id="54" w:name="_Toc24634721"/>
      <w:bookmarkStart w:id="55" w:name="_Toc24702461"/>
      <w:r>
        <w:br w:type="page"/>
      </w:r>
    </w:p>
    <w:p w:rsidR="003F7B0F" w:rsidRPr="00D60728" w:rsidRDefault="0050395C" w:rsidP="00BF7DCC">
      <w:pPr>
        <w:pStyle w:val="Heading1"/>
        <w:spacing w:after="0" w:line="240" w:lineRule="auto"/>
        <w:rPr>
          <w:rFonts w:cs="Times New Roman"/>
        </w:rPr>
      </w:pPr>
      <w:bookmarkStart w:id="56" w:name="_Toc34147579"/>
      <w:r>
        <w:rPr>
          <w:rFonts w:cs="Times New Roman"/>
        </w:rPr>
        <w:lastRenderedPageBreak/>
        <w:t>P</w:t>
      </w:r>
      <w:r w:rsidR="003F7B0F" w:rsidRPr="00D60728">
        <w:rPr>
          <w:rFonts w:cs="Times New Roman"/>
        </w:rPr>
        <w:t>OPIS KRATICA</w:t>
      </w:r>
      <w:bookmarkEnd w:id="53"/>
      <w:bookmarkEnd w:id="54"/>
      <w:bookmarkEnd w:id="55"/>
      <w:bookmarkEnd w:id="56"/>
    </w:p>
    <w:p w:rsidR="003F7B0F" w:rsidRPr="00D60728" w:rsidRDefault="003F7B0F" w:rsidP="00BF7DCC">
      <w:pPr>
        <w:spacing w:line="240" w:lineRule="auto"/>
        <w:rPr>
          <w:lang w:eastAsia="en-US"/>
        </w:rPr>
      </w:pPr>
    </w:p>
    <w:p w:rsidR="00FD6EF9" w:rsidRPr="00D60728" w:rsidRDefault="00FD6EF9" w:rsidP="00BF7DCC">
      <w:pPr>
        <w:spacing w:line="240" w:lineRule="auto"/>
        <w:rPr>
          <w:lang w:eastAsia="en-US"/>
        </w:rPr>
      </w:pPr>
      <w:r w:rsidRPr="00D60728">
        <w:rPr>
          <w:lang w:eastAsia="en-US"/>
        </w:rPr>
        <w:t>AMPEU – Agencija za mobilnost i programe EU</w:t>
      </w:r>
    </w:p>
    <w:p w:rsidR="00FD6EF9" w:rsidRPr="00D60728" w:rsidRDefault="00FD6EF9" w:rsidP="00BF7DCC">
      <w:pPr>
        <w:spacing w:line="240" w:lineRule="auto"/>
        <w:rPr>
          <w:lang w:eastAsia="en-US"/>
        </w:rPr>
      </w:pPr>
      <w:r w:rsidRPr="00D60728">
        <w:rPr>
          <w:lang w:eastAsia="en-US"/>
        </w:rPr>
        <w:t>APN – Agencija za promet nekretninama</w:t>
      </w:r>
    </w:p>
    <w:p w:rsidR="00FD6EF9" w:rsidRPr="00D60728" w:rsidRDefault="00FD6EF9" w:rsidP="00BF7DCC">
      <w:pPr>
        <w:spacing w:line="240" w:lineRule="auto"/>
        <w:rPr>
          <w:lang w:eastAsia="en-US"/>
        </w:rPr>
      </w:pPr>
      <w:r w:rsidRPr="00D60728">
        <w:rPr>
          <w:lang w:eastAsia="en-US"/>
        </w:rPr>
        <w:t>AZOLPP – Agencija za obalni linijski pomorski promet</w:t>
      </w:r>
    </w:p>
    <w:p w:rsidR="00FD6EF9" w:rsidRPr="00D60728" w:rsidRDefault="00FD6EF9" w:rsidP="00BF7DCC">
      <w:pPr>
        <w:spacing w:line="240" w:lineRule="auto"/>
        <w:rPr>
          <w:lang w:eastAsia="en-US"/>
        </w:rPr>
      </w:pPr>
      <w:r w:rsidRPr="00D60728">
        <w:rPr>
          <w:lang w:eastAsia="en-US"/>
        </w:rPr>
        <w:t>AZU – Agencija za ugljikovodike</w:t>
      </w:r>
    </w:p>
    <w:p w:rsidR="00FD6EF9" w:rsidRPr="00D60728" w:rsidRDefault="00FD6EF9" w:rsidP="00BF7DCC">
      <w:pPr>
        <w:spacing w:line="240" w:lineRule="auto"/>
        <w:rPr>
          <w:lang w:eastAsia="en-US"/>
        </w:rPr>
      </w:pPr>
      <w:r w:rsidRPr="00D60728">
        <w:rPr>
          <w:lang w:eastAsia="en-US"/>
        </w:rPr>
        <w:t>AZVO – Agencija za znanost i visoko obrazovanje</w:t>
      </w:r>
    </w:p>
    <w:p w:rsidR="00FD6EF9" w:rsidRPr="00D60728" w:rsidRDefault="00FD6EF9" w:rsidP="00BF7DCC">
      <w:pPr>
        <w:spacing w:line="240" w:lineRule="auto"/>
        <w:rPr>
          <w:lang w:eastAsia="en-US"/>
        </w:rPr>
      </w:pPr>
      <w:r w:rsidRPr="00D60728">
        <w:rPr>
          <w:lang w:eastAsia="en-US"/>
        </w:rPr>
        <w:t>BDP – bruto domaći proizvod</w:t>
      </w:r>
    </w:p>
    <w:p w:rsidR="00FD6EF9" w:rsidRPr="00D60728" w:rsidRDefault="00FD6EF9" w:rsidP="00BF7DCC">
      <w:pPr>
        <w:spacing w:line="240" w:lineRule="auto"/>
        <w:rPr>
          <w:lang w:eastAsia="en-US"/>
        </w:rPr>
      </w:pPr>
      <w:r w:rsidRPr="00D60728">
        <w:rPr>
          <w:lang w:eastAsia="en-US"/>
        </w:rPr>
        <w:t>CEF – Instrument za povezivanje Europe (eng. Connecting Europe Facility)</w:t>
      </w:r>
    </w:p>
    <w:p w:rsidR="00FD6EF9" w:rsidRPr="00D60728" w:rsidRDefault="00FD6EF9" w:rsidP="00BF7DCC">
      <w:pPr>
        <w:spacing w:line="240" w:lineRule="auto"/>
        <w:rPr>
          <w:lang w:eastAsia="en-US"/>
        </w:rPr>
      </w:pPr>
      <w:r w:rsidRPr="00D60728">
        <w:rPr>
          <w:lang w:eastAsia="en-US"/>
        </w:rPr>
        <w:t>CTS – centralizirani toplinski sustav</w:t>
      </w:r>
    </w:p>
    <w:p w:rsidR="00FD6EF9" w:rsidRPr="00D60728" w:rsidRDefault="00FD6EF9" w:rsidP="00BF7DCC">
      <w:pPr>
        <w:spacing w:line="240" w:lineRule="auto"/>
        <w:rPr>
          <w:lang w:eastAsia="en-US"/>
        </w:rPr>
      </w:pPr>
      <w:r w:rsidRPr="00D60728">
        <w:rPr>
          <w:lang w:eastAsia="en-US"/>
        </w:rPr>
        <w:t>DZIV – Državni zavod za intelektualno vlasništvo</w:t>
      </w:r>
    </w:p>
    <w:p w:rsidR="00FD6EF9" w:rsidRPr="00D60728" w:rsidRDefault="00FD6EF9" w:rsidP="00BF7DCC">
      <w:pPr>
        <w:spacing w:line="240" w:lineRule="auto"/>
        <w:rPr>
          <w:lang w:eastAsia="en-US"/>
        </w:rPr>
      </w:pPr>
      <w:r w:rsidRPr="00D60728">
        <w:rPr>
          <w:lang w:eastAsia="en-US"/>
        </w:rPr>
        <w:t>DZS – Državni zavod za statistiku</w:t>
      </w:r>
    </w:p>
    <w:p w:rsidR="00FD6EF9" w:rsidRPr="00D60728" w:rsidRDefault="00FD6EF9" w:rsidP="00BF7DCC">
      <w:pPr>
        <w:spacing w:line="240" w:lineRule="auto"/>
        <w:rPr>
          <w:lang w:eastAsia="en-US"/>
        </w:rPr>
      </w:pPr>
      <w:r w:rsidRPr="00D60728">
        <w:rPr>
          <w:lang w:eastAsia="en-US"/>
        </w:rPr>
        <w:t>EES – elektroenergetski sustav</w:t>
      </w:r>
    </w:p>
    <w:p w:rsidR="00FD6EF9" w:rsidRPr="00D60728" w:rsidRDefault="00FD6EF9" w:rsidP="00BF7DCC">
      <w:pPr>
        <w:spacing w:line="240" w:lineRule="auto"/>
        <w:rPr>
          <w:lang w:eastAsia="en-US"/>
        </w:rPr>
      </w:pPr>
      <w:r w:rsidRPr="00D60728">
        <w:rPr>
          <w:lang w:eastAsia="en-US"/>
        </w:rPr>
        <w:t>EFRR – Europski fond za regionalni razvoj</w:t>
      </w:r>
    </w:p>
    <w:p w:rsidR="00FD6EF9" w:rsidRPr="00D60728" w:rsidRDefault="00FD6EF9" w:rsidP="00BF7DCC">
      <w:pPr>
        <w:spacing w:line="240" w:lineRule="auto"/>
        <w:rPr>
          <w:lang w:eastAsia="en-US"/>
        </w:rPr>
      </w:pPr>
      <w:r w:rsidRPr="00D60728">
        <w:rPr>
          <w:lang w:eastAsia="en-US"/>
        </w:rPr>
        <w:t>EnU – energetska učinkovitost</w:t>
      </w:r>
    </w:p>
    <w:p w:rsidR="00FD6EF9" w:rsidRPr="00D60728" w:rsidRDefault="00FD6EF9" w:rsidP="00BF7DCC">
      <w:pPr>
        <w:spacing w:line="240" w:lineRule="auto"/>
        <w:rPr>
          <w:lang w:eastAsia="en-US"/>
        </w:rPr>
      </w:pPr>
      <w:r w:rsidRPr="00D60728">
        <w:rPr>
          <w:lang w:eastAsia="en-US"/>
        </w:rPr>
        <w:t>ESCO – tvrtka za pružanje energetskih usluga (eng. Energy Service Company)</w:t>
      </w:r>
    </w:p>
    <w:p w:rsidR="00FD6EF9" w:rsidRPr="00D60728" w:rsidRDefault="00FD6EF9" w:rsidP="00BF7DCC">
      <w:pPr>
        <w:spacing w:line="240" w:lineRule="auto"/>
        <w:rPr>
          <w:lang w:eastAsia="en-US"/>
        </w:rPr>
      </w:pPr>
      <w:r w:rsidRPr="00D60728">
        <w:rPr>
          <w:lang w:eastAsia="en-US"/>
        </w:rPr>
        <w:t>ESIF – Europski strukturni i investicijski fondovi</w:t>
      </w:r>
    </w:p>
    <w:p w:rsidR="00FD6EF9" w:rsidRPr="00D60728" w:rsidRDefault="00FD6EF9" w:rsidP="00BF7DCC">
      <w:pPr>
        <w:spacing w:line="240" w:lineRule="auto"/>
        <w:rPr>
          <w:lang w:eastAsia="en-US"/>
        </w:rPr>
      </w:pPr>
      <w:r w:rsidRPr="00D60728">
        <w:rPr>
          <w:lang w:eastAsia="en-US"/>
        </w:rPr>
        <w:t>ETS – Sustav trgovanja emisijskim jedinicama (eng. Emissions Trading System)</w:t>
      </w:r>
    </w:p>
    <w:p w:rsidR="00FD6EF9" w:rsidRPr="00D60728" w:rsidRDefault="00FD6EF9" w:rsidP="00BF7DCC">
      <w:pPr>
        <w:spacing w:line="240" w:lineRule="auto"/>
        <w:rPr>
          <w:lang w:eastAsia="en-US"/>
        </w:rPr>
      </w:pPr>
      <w:r w:rsidRPr="00D60728">
        <w:rPr>
          <w:lang w:eastAsia="en-US"/>
        </w:rPr>
        <w:t>EU – Europska unija</w:t>
      </w:r>
    </w:p>
    <w:p w:rsidR="00FD6EF9" w:rsidRPr="00D60728" w:rsidRDefault="00FD6EF9" w:rsidP="00BF7DCC">
      <w:pPr>
        <w:spacing w:line="240" w:lineRule="auto"/>
        <w:rPr>
          <w:lang w:eastAsia="en-US"/>
        </w:rPr>
      </w:pPr>
      <w:r w:rsidRPr="00D60728">
        <w:rPr>
          <w:lang w:eastAsia="en-US"/>
        </w:rPr>
        <w:t>FI – financijski instrumenti</w:t>
      </w:r>
    </w:p>
    <w:p w:rsidR="00FD6EF9" w:rsidRPr="00D60728" w:rsidRDefault="00FD6EF9" w:rsidP="00BF7DCC">
      <w:pPr>
        <w:spacing w:line="240" w:lineRule="auto"/>
        <w:rPr>
          <w:lang w:eastAsia="en-US"/>
        </w:rPr>
      </w:pPr>
      <w:r w:rsidRPr="00D60728">
        <w:rPr>
          <w:lang w:eastAsia="en-US"/>
        </w:rPr>
        <w:t>FRL – referentna razina za šume (eng. Forest Reference Level)</w:t>
      </w:r>
    </w:p>
    <w:p w:rsidR="00FD6EF9" w:rsidRPr="00D60728" w:rsidRDefault="00FD6EF9" w:rsidP="00BF7DCC">
      <w:pPr>
        <w:spacing w:line="240" w:lineRule="auto"/>
        <w:rPr>
          <w:lang w:eastAsia="en-US"/>
        </w:rPr>
      </w:pPr>
      <w:r w:rsidRPr="00D60728">
        <w:rPr>
          <w:lang w:eastAsia="en-US"/>
        </w:rPr>
        <w:t>FZOEU – Fond za zaštitu okoliša i energetsku učinkovitost</w:t>
      </w:r>
    </w:p>
    <w:p w:rsidR="00FD6EF9" w:rsidRPr="00D60728" w:rsidRDefault="00FD6EF9" w:rsidP="00BF7DCC">
      <w:pPr>
        <w:spacing w:line="240" w:lineRule="auto"/>
        <w:rPr>
          <w:lang w:eastAsia="en-US"/>
        </w:rPr>
      </w:pPr>
      <w:r w:rsidRPr="00D60728">
        <w:rPr>
          <w:lang w:eastAsia="en-US"/>
        </w:rPr>
        <w:t>HAMAG-BICRO – Hrvatska agencija za malo gospodarstvo, inovacije i investicije</w:t>
      </w:r>
    </w:p>
    <w:p w:rsidR="00FD6EF9" w:rsidRPr="00D60728" w:rsidRDefault="00FD6EF9" w:rsidP="00BF7DCC">
      <w:pPr>
        <w:spacing w:line="240" w:lineRule="auto"/>
        <w:rPr>
          <w:lang w:eastAsia="en-US"/>
        </w:rPr>
      </w:pPr>
      <w:r w:rsidRPr="00D60728">
        <w:rPr>
          <w:lang w:eastAsia="en-US"/>
        </w:rPr>
        <w:t>HBOR – Hrvatska banka za obnovu i razvoj</w:t>
      </w:r>
    </w:p>
    <w:p w:rsidR="00FD6EF9" w:rsidRPr="00D60728" w:rsidRDefault="00FD6EF9" w:rsidP="00BF7DCC">
      <w:pPr>
        <w:spacing w:line="240" w:lineRule="auto"/>
        <w:rPr>
          <w:lang w:eastAsia="en-US"/>
        </w:rPr>
      </w:pPr>
      <w:r w:rsidRPr="00D60728">
        <w:rPr>
          <w:lang w:eastAsia="en-US"/>
        </w:rPr>
        <w:t>HEP – Hrvatska elektroprivreda</w:t>
      </w:r>
    </w:p>
    <w:p w:rsidR="00FD6EF9" w:rsidRPr="00D60728" w:rsidRDefault="00FD6EF9" w:rsidP="00BF7DCC">
      <w:pPr>
        <w:spacing w:line="240" w:lineRule="auto"/>
        <w:rPr>
          <w:lang w:eastAsia="en-US"/>
        </w:rPr>
      </w:pPr>
      <w:r w:rsidRPr="00D60728">
        <w:rPr>
          <w:lang w:eastAsia="en-US"/>
        </w:rPr>
        <w:t>HERA – Hrvatska energetska regulatorna agencija</w:t>
      </w:r>
    </w:p>
    <w:p w:rsidR="00FD6EF9" w:rsidRPr="00D60728" w:rsidRDefault="00FD6EF9" w:rsidP="00BF7DCC">
      <w:pPr>
        <w:spacing w:line="240" w:lineRule="auto"/>
        <w:rPr>
          <w:lang w:eastAsia="en-US"/>
        </w:rPr>
      </w:pPr>
      <w:r w:rsidRPr="00D60728">
        <w:rPr>
          <w:lang w:eastAsia="en-US"/>
        </w:rPr>
        <w:t>HGK – Hrvatska gospodarska komora</w:t>
      </w:r>
    </w:p>
    <w:p w:rsidR="00FD6EF9" w:rsidRPr="00D60728" w:rsidRDefault="00FD6EF9" w:rsidP="00BF7DCC">
      <w:pPr>
        <w:spacing w:line="240" w:lineRule="auto"/>
        <w:rPr>
          <w:lang w:eastAsia="en-US"/>
        </w:rPr>
      </w:pPr>
      <w:r w:rsidRPr="00D60728">
        <w:rPr>
          <w:lang w:eastAsia="en-US"/>
        </w:rPr>
        <w:t>HHI – Herfindahl-Hirschmanov indeks</w:t>
      </w:r>
    </w:p>
    <w:p w:rsidR="00FD6EF9" w:rsidRPr="00D60728" w:rsidRDefault="00FD6EF9" w:rsidP="00BF7DCC">
      <w:pPr>
        <w:spacing w:line="240" w:lineRule="auto"/>
        <w:rPr>
          <w:lang w:eastAsia="en-US"/>
        </w:rPr>
      </w:pPr>
      <w:r w:rsidRPr="00D60728">
        <w:rPr>
          <w:lang w:eastAsia="en-US"/>
        </w:rPr>
        <w:t>HOPS – Hrvatski operator prijenosnog sustava</w:t>
      </w:r>
    </w:p>
    <w:p w:rsidR="00FD6EF9" w:rsidRPr="00D60728" w:rsidRDefault="00FD6EF9" w:rsidP="00BF7DCC">
      <w:pPr>
        <w:spacing w:line="240" w:lineRule="auto"/>
        <w:rPr>
          <w:lang w:eastAsia="en-US"/>
        </w:rPr>
      </w:pPr>
      <w:r w:rsidRPr="00D60728">
        <w:rPr>
          <w:lang w:eastAsia="en-US"/>
        </w:rPr>
        <w:t>HROTE – Hrvatski operator tržišta energije</w:t>
      </w:r>
    </w:p>
    <w:p w:rsidR="00FD6EF9" w:rsidRPr="00D60728" w:rsidRDefault="00FD6EF9" w:rsidP="00BF7DCC">
      <w:pPr>
        <w:spacing w:line="240" w:lineRule="auto"/>
        <w:rPr>
          <w:lang w:eastAsia="en-US"/>
        </w:rPr>
      </w:pPr>
      <w:r w:rsidRPr="00D60728">
        <w:rPr>
          <w:lang w:eastAsia="en-US"/>
        </w:rPr>
        <w:t>HRZZ – Hrvatska zaklada za znanost</w:t>
      </w:r>
    </w:p>
    <w:p w:rsidR="00FD6EF9" w:rsidRPr="00D60728" w:rsidRDefault="00FD6EF9" w:rsidP="00BF7DCC">
      <w:pPr>
        <w:spacing w:line="240" w:lineRule="auto"/>
        <w:rPr>
          <w:lang w:eastAsia="en-US"/>
        </w:rPr>
      </w:pPr>
      <w:r w:rsidRPr="00D60728">
        <w:rPr>
          <w:lang w:eastAsia="en-US"/>
        </w:rPr>
        <w:t>ICT – informacijske i komunikacijske tehnologije</w:t>
      </w:r>
    </w:p>
    <w:p w:rsidR="00FD6EF9" w:rsidRPr="00D60728" w:rsidRDefault="00FD6EF9" w:rsidP="00BF7DCC">
      <w:pPr>
        <w:spacing w:line="240" w:lineRule="auto"/>
        <w:rPr>
          <w:lang w:eastAsia="en-US"/>
        </w:rPr>
      </w:pPr>
      <w:r w:rsidRPr="00D60728">
        <w:rPr>
          <w:lang w:eastAsia="en-US"/>
        </w:rPr>
        <w:t>IEA – Međunarodna agencija za energiju (eng. International Energy Agency)</w:t>
      </w:r>
    </w:p>
    <w:p w:rsidR="00FD6EF9" w:rsidRPr="00D60728" w:rsidRDefault="00FD6EF9" w:rsidP="00BF7DCC">
      <w:pPr>
        <w:spacing w:line="240" w:lineRule="auto"/>
        <w:rPr>
          <w:lang w:eastAsia="en-US"/>
        </w:rPr>
      </w:pPr>
      <w:r w:rsidRPr="00D60728">
        <w:rPr>
          <w:lang w:eastAsia="en-US"/>
        </w:rPr>
        <w:t>IPCC – Međuvladin panel za klimatske promjene (eng. Intergovernmental Panel on Climate Change)</w:t>
      </w:r>
    </w:p>
    <w:p w:rsidR="00FD6EF9" w:rsidRPr="00D60728" w:rsidRDefault="00FD6EF9" w:rsidP="00BF7DCC">
      <w:pPr>
        <w:spacing w:line="240" w:lineRule="auto"/>
        <w:rPr>
          <w:lang w:eastAsia="en-US"/>
        </w:rPr>
      </w:pPr>
      <w:r w:rsidRPr="00D60728">
        <w:rPr>
          <w:lang w:eastAsia="en-US"/>
        </w:rPr>
        <w:t>ISGE – Informacijski sustav za gospodarenje energijom</w:t>
      </w:r>
    </w:p>
    <w:p w:rsidR="00FD6EF9" w:rsidRPr="00D60728" w:rsidRDefault="00FD6EF9" w:rsidP="00BF7DCC">
      <w:pPr>
        <w:spacing w:line="240" w:lineRule="auto"/>
        <w:rPr>
          <w:lang w:eastAsia="en-US"/>
        </w:rPr>
      </w:pPr>
      <w:r w:rsidRPr="00D60728">
        <w:rPr>
          <w:lang w:eastAsia="en-US"/>
        </w:rPr>
        <w:t>LULUCF – Korištenje zemljišta, prenamjena zemljišta i šumarstvo (eng. Land Use, Land Use Change and Forestry)</w:t>
      </w:r>
    </w:p>
    <w:p w:rsidR="00FD6EF9" w:rsidRPr="00D60728" w:rsidRDefault="00FD6EF9" w:rsidP="00BF7DCC">
      <w:pPr>
        <w:spacing w:line="240" w:lineRule="auto"/>
        <w:rPr>
          <w:lang w:eastAsia="en-US"/>
        </w:rPr>
      </w:pPr>
      <w:r w:rsidRPr="00D60728">
        <w:rPr>
          <w:lang w:eastAsia="en-US"/>
        </w:rPr>
        <w:t>MDI – Ministarstvo državne imovine</w:t>
      </w:r>
    </w:p>
    <w:p w:rsidR="009E4A36" w:rsidRDefault="009E4A36" w:rsidP="00BF7DCC">
      <w:pPr>
        <w:spacing w:line="240" w:lineRule="auto"/>
        <w:rPr>
          <w:lang w:eastAsia="en-US"/>
        </w:rPr>
      </w:pPr>
      <w:r w:rsidRPr="00D60728">
        <w:rPr>
          <w:lang w:eastAsia="en-US"/>
        </w:rPr>
        <w:t>MDOMSP – Ministarstvo za demografiju, obitelj, mlade i socijalnu politiku</w:t>
      </w:r>
    </w:p>
    <w:p w:rsidR="003326BB" w:rsidRPr="00D60728" w:rsidRDefault="003326BB" w:rsidP="00BF7DCC">
      <w:pPr>
        <w:spacing w:line="240" w:lineRule="auto"/>
        <w:rPr>
          <w:lang w:eastAsia="en-US"/>
        </w:rPr>
      </w:pPr>
      <w:r>
        <w:rPr>
          <w:lang w:eastAsia="en-US"/>
        </w:rPr>
        <w:t>MFIN – Ministarstvo financija</w:t>
      </w:r>
    </w:p>
    <w:p w:rsidR="00FD6EF9" w:rsidRPr="00D60728" w:rsidRDefault="00FD6EF9" w:rsidP="00BF7DCC">
      <w:pPr>
        <w:spacing w:line="240" w:lineRule="auto"/>
        <w:rPr>
          <w:lang w:eastAsia="en-US"/>
        </w:rPr>
      </w:pPr>
      <w:r w:rsidRPr="00D60728">
        <w:rPr>
          <w:lang w:eastAsia="en-US"/>
        </w:rPr>
        <w:t>MGPO – Ministarstvo gospodarstva, poduzetništva i obrta</w:t>
      </w:r>
    </w:p>
    <w:p w:rsidR="00FD6EF9" w:rsidRDefault="00FD6EF9" w:rsidP="00BF7DCC">
      <w:pPr>
        <w:spacing w:line="240" w:lineRule="auto"/>
        <w:rPr>
          <w:lang w:eastAsia="en-US"/>
        </w:rPr>
      </w:pPr>
      <w:r w:rsidRPr="00D60728">
        <w:rPr>
          <w:lang w:eastAsia="en-US"/>
        </w:rPr>
        <w:t>MGIPU – Ministarstvo graditeljstva i prostornog uređenja</w:t>
      </w:r>
    </w:p>
    <w:p w:rsidR="00F9270E" w:rsidRPr="00D60728" w:rsidRDefault="00F9270E" w:rsidP="00BF7DCC">
      <w:pPr>
        <w:spacing w:line="240" w:lineRule="auto"/>
        <w:rPr>
          <w:lang w:eastAsia="en-US"/>
        </w:rPr>
      </w:pPr>
      <w:r>
        <w:rPr>
          <w:lang w:eastAsia="en-US"/>
        </w:rPr>
        <w:t>MMPI – Ministarstvo mora, prometa i infrastrukture</w:t>
      </w:r>
    </w:p>
    <w:p w:rsidR="00FD6EF9" w:rsidRPr="00D60728" w:rsidRDefault="00FD6EF9" w:rsidP="00BF7DCC">
      <w:pPr>
        <w:spacing w:line="240" w:lineRule="auto"/>
        <w:rPr>
          <w:lang w:eastAsia="en-US"/>
        </w:rPr>
      </w:pPr>
      <w:r w:rsidRPr="00D60728">
        <w:rPr>
          <w:lang w:eastAsia="en-US"/>
        </w:rPr>
        <w:t>MPŠ – Ministarstvo poljoprivrede i šumarstva</w:t>
      </w:r>
    </w:p>
    <w:p w:rsidR="00FD6EF9" w:rsidRPr="00D60728" w:rsidRDefault="00FD6EF9" w:rsidP="00BF7DCC">
      <w:pPr>
        <w:spacing w:line="240" w:lineRule="auto"/>
        <w:rPr>
          <w:lang w:eastAsia="en-US"/>
        </w:rPr>
      </w:pPr>
      <w:r w:rsidRPr="00D60728">
        <w:rPr>
          <w:lang w:eastAsia="en-US"/>
        </w:rPr>
        <w:t>MZO – Ministarstvo znanosti i obrazovanja</w:t>
      </w:r>
    </w:p>
    <w:p w:rsidR="00FD6EF9" w:rsidRPr="00D60728" w:rsidRDefault="00FD6EF9" w:rsidP="00BF7DCC">
      <w:pPr>
        <w:spacing w:line="240" w:lineRule="auto"/>
        <w:rPr>
          <w:lang w:eastAsia="en-US"/>
        </w:rPr>
      </w:pPr>
      <w:r w:rsidRPr="00D60728">
        <w:rPr>
          <w:lang w:eastAsia="en-US"/>
        </w:rPr>
        <w:t>MZOE – Ministarstvo zaštite okoliša i energetike</w:t>
      </w:r>
    </w:p>
    <w:p w:rsidR="00FD6EF9" w:rsidRPr="00D60728" w:rsidRDefault="00FD6EF9" w:rsidP="00BF7DCC">
      <w:pPr>
        <w:spacing w:line="240" w:lineRule="auto"/>
        <w:rPr>
          <w:lang w:eastAsia="en-US"/>
        </w:rPr>
      </w:pPr>
      <w:r w:rsidRPr="00D60728">
        <w:rPr>
          <w:lang w:eastAsia="en-US"/>
        </w:rPr>
        <w:t>NAPEnU – Nacionalni akcijski plan energetske učinkovitosti</w:t>
      </w:r>
    </w:p>
    <w:p w:rsidR="00FD6EF9" w:rsidRPr="00D60728" w:rsidRDefault="00FD6EF9" w:rsidP="00BF7DCC">
      <w:pPr>
        <w:spacing w:line="240" w:lineRule="auto"/>
        <w:rPr>
          <w:lang w:eastAsia="en-US"/>
        </w:rPr>
      </w:pPr>
      <w:r w:rsidRPr="00D60728">
        <w:rPr>
          <w:lang w:eastAsia="en-US"/>
        </w:rPr>
        <w:t>NFAP – Nacionalni računski plan za šumarstvo (eng. National Forestry Accounting Plan)</w:t>
      </w:r>
    </w:p>
    <w:p w:rsidR="00FD6EF9" w:rsidRPr="00D60728" w:rsidRDefault="00FD6EF9" w:rsidP="00BF7DCC">
      <w:pPr>
        <w:spacing w:line="240" w:lineRule="auto"/>
        <w:rPr>
          <w:lang w:eastAsia="en-US"/>
        </w:rPr>
      </w:pPr>
      <w:r w:rsidRPr="00D60728">
        <w:rPr>
          <w:lang w:eastAsia="en-US"/>
        </w:rPr>
        <w:lastRenderedPageBreak/>
        <w:t>NKT – Nacionalno koordinacijsko tijelo</w:t>
      </w:r>
    </w:p>
    <w:p w:rsidR="00FD6EF9" w:rsidRPr="00D60728" w:rsidRDefault="00FD6EF9" w:rsidP="00BF7DCC">
      <w:pPr>
        <w:spacing w:line="240" w:lineRule="auto"/>
        <w:rPr>
          <w:lang w:eastAsia="en-US"/>
        </w:rPr>
      </w:pPr>
      <w:r w:rsidRPr="00D60728">
        <w:rPr>
          <w:lang w:eastAsia="en-US"/>
        </w:rPr>
        <w:t>NOP – Nacionalni okvir politike za uspostavu infrastrukture za alternativna goriva RH</w:t>
      </w:r>
    </w:p>
    <w:p w:rsidR="00FD6EF9" w:rsidRPr="00D60728" w:rsidRDefault="00FD6EF9" w:rsidP="00BF7DCC">
      <w:pPr>
        <w:spacing w:line="240" w:lineRule="auto"/>
        <w:rPr>
          <w:lang w:eastAsia="en-US"/>
        </w:rPr>
      </w:pPr>
      <w:r w:rsidRPr="00D60728">
        <w:rPr>
          <w:lang w:eastAsia="en-US"/>
        </w:rPr>
        <w:t>NTC – neto prijenosni kapacitet (eng. Net Transfer Capacity)</w:t>
      </w:r>
    </w:p>
    <w:p w:rsidR="00FD6EF9" w:rsidRPr="00D60728" w:rsidRDefault="00FD6EF9" w:rsidP="00BF7DCC">
      <w:pPr>
        <w:spacing w:line="240" w:lineRule="auto"/>
        <w:rPr>
          <w:lang w:eastAsia="en-US"/>
        </w:rPr>
      </w:pPr>
      <w:r w:rsidRPr="00D60728">
        <w:rPr>
          <w:lang w:eastAsia="en-US"/>
        </w:rPr>
        <w:t>nZEB – zgrada gotovo nulte energije (eng. Nearly Zero Energy Building)</w:t>
      </w:r>
    </w:p>
    <w:p w:rsidR="00FD6EF9" w:rsidRPr="00D60728" w:rsidRDefault="00FD6EF9" w:rsidP="00BF7DCC">
      <w:pPr>
        <w:spacing w:line="240" w:lineRule="auto"/>
        <w:rPr>
          <w:lang w:eastAsia="en-US"/>
        </w:rPr>
      </w:pPr>
      <w:r w:rsidRPr="00D60728">
        <w:rPr>
          <w:lang w:eastAsia="en-US"/>
        </w:rPr>
        <w:t>ODS – Operator distribucijskog sustava</w:t>
      </w:r>
    </w:p>
    <w:p w:rsidR="00FD6EF9" w:rsidRPr="00D60728" w:rsidRDefault="00FD6EF9" w:rsidP="00BF7DCC">
      <w:pPr>
        <w:spacing w:line="240" w:lineRule="auto"/>
        <w:rPr>
          <w:lang w:eastAsia="en-US"/>
        </w:rPr>
      </w:pPr>
      <w:r w:rsidRPr="00D60728">
        <w:rPr>
          <w:lang w:eastAsia="en-US"/>
        </w:rPr>
        <w:t>OIE – obnovljivi izvori energije</w:t>
      </w:r>
    </w:p>
    <w:p w:rsidR="00FD6EF9" w:rsidRPr="00D60728" w:rsidRDefault="00FD6EF9" w:rsidP="00BF7DCC">
      <w:pPr>
        <w:spacing w:line="240" w:lineRule="auto"/>
        <w:rPr>
          <w:lang w:eastAsia="en-US"/>
        </w:rPr>
      </w:pPr>
      <w:r w:rsidRPr="00D60728">
        <w:rPr>
          <w:lang w:eastAsia="en-US"/>
        </w:rPr>
        <w:t>OPKK – Operativni program Konkurentnost i kohezija 2014. – 2020.</w:t>
      </w:r>
    </w:p>
    <w:p w:rsidR="00FD6EF9" w:rsidRPr="00D60728" w:rsidRDefault="00FD6EF9" w:rsidP="00BF7DCC">
      <w:pPr>
        <w:spacing w:line="240" w:lineRule="auto"/>
        <w:rPr>
          <w:lang w:eastAsia="en-US"/>
        </w:rPr>
      </w:pPr>
      <w:r w:rsidRPr="00D60728">
        <w:rPr>
          <w:lang w:eastAsia="en-US"/>
        </w:rPr>
        <w:t>PCI – Projekti od zajedničkog interesa (eng. Projects of Common Interest)</w:t>
      </w:r>
    </w:p>
    <w:p w:rsidR="00FD6EF9" w:rsidRPr="00D60728" w:rsidRDefault="00FD6EF9" w:rsidP="00BF7DCC">
      <w:pPr>
        <w:spacing w:line="240" w:lineRule="auto"/>
        <w:rPr>
          <w:lang w:eastAsia="en-US"/>
        </w:rPr>
      </w:pPr>
      <w:r w:rsidRPr="00D60728">
        <w:rPr>
          <w:lang w:eastAsia="en-US"/>
        </w:rPr>
        <w:t>SECAP – Akcijski plan energetskog i klimatskog održivog razvoja (eng. Sustainable Energy and Climate Action Plan)</w:t>
      </w:r>
    </w:p>
    <w:p w:rsidR="00FD6EF9" w:rsidRPr="00D60728" w:rsidRDefault="00FD6EF9" w:rsidP="00BF7DCC">
      <w:pPr>
        <w:spacing w:line="240" w:lineRule="auto"/>
        <w:rPr>
          <w:lang w:eastAsia="en-US"/>
        </w:rPr>
      </w:pPr>
      <w:r w:rsidRPr="00D60728">
        <w:rPr>
          <w:lang w:eastAsia="en-US"/>
        </w:rPr>
        <w:t>SMiV – Sustav za mjerenje i verifikaciju</w:t>
      </w:r>
    </w:p>
    <w:p w:rsidR="00FD6EF9" w:rsidRPr="00D60728" w:rsidRDefault="00FD6EF9" w:rsidP="00BF7DCC">
      <w:pPr>
        <w:spacing w:line="240" w:lineRule="auto"/>
        <w:rPr>
          <w:lang w:eastAsia="en-US"/>
        </w:rPr>
      </w:pPr>
      <w:r w:rsidRPr="00D60728">
        <w:rPr>
          <w:lang w:eastAsia="en-US"/>
        </w:rPr>
        <w:t>SPP – stlačeni prirodni plin</w:t>
      </w:r>
    </w:p>
    <w:p w:rsidR="00FD6EF9" w:rsidRPr="00D60728" w:rsidRDefault="00FD6EF9" w:rsidP="00BF7DCC">
      <w:pPr>
        <w:spacing w:line="240" w:lineRule="auto"/>
        <w:rPr>
          <w:lang w:eastAsia="en-US"/>
        </w:rPr>
      </w:pPr>
      <w:r w:rsidRPr="00D60728">
        <w:rPr>
          <w:lang w:eastAsia="en-US"/>
        </w:rPr>
        <w:t>TYNDP – desetogodišnji plan razvoja prijenosne mreže (eng. Ten-Year Network Development Plan)</w:t>
      </w:r>
    </w:p>
    <w:p w:rsidR="00FD6EF9" w:rsidRPr="00D60728" w:rsidRDefault="00FD6EF9" w:rsidP="00BF7DCC">
      <w:pPr>
        <w:spacing w:line="240" w:lineRule="auto"/>
        <w:rPr>
          <w:lang w:eastAsia="en-US"/>
        </w:rPr>
      </w:pPr>
      <w:r w:rsidRPr="00D60728">
        <w:rPr>
          <w:lang w:eastAsia="en-US"/>
        </w:rPr>
        <w:t>UN – Ujedinjeni narodi</w:t>
      </w:r>
    </w:p>
    <w:p w:rsidR="00FD6EF9" w:rsidRPr="00D60728" w:rsidRDefault="00FD6EF9" w:rsidP="00BF7DCC">
      <w:pPr>
        <w:spacing w:line="240" w:lineRule="auto"/>
        <w:rPr>
          <w:lang w:eastAsia="en-US"/>
        </w:rPr>
      </w:pPr>
      <w:r w:rsidRPr="00D60728">
        <w:rPr>
          <w:lang w:eastAsia="en-US"/>
        </w:rPr>
        <w:t>UNFCCC – Okvirna konvencija UN-a o promjeni klime (eng. United Nations Framework Convention on Climate Change)</w:t>
      </w:r>
    </w:p>
    <w:p w:rsidR="00FD6EF9" w:rsidRPr="00D60728" w:rsidRDefault="00FD6EF9" w:rsidP="00BF7DCC">
      <w:pPr>
        <w:spacing w:line="240" w:lineRule="auto"/>
        <w:rPr>
          <w:lang w:eastAsia="en-US"/>
        </w:rPr>
      </w:pPr>
    </w:p>
    <w:p w:rsidR="00541633" w:rsidRPr="00D60728" w:rsidRDefault="00541633" w:rsidP="00BF7DCC">
      <w:pPr>
        <w:spacing w:line="240" w:lineRule="auto"/>
      </w:pPr>
    </w:p>
    <w:sectPr w:rsidR="00541633" w:rsidRPr="00D60728" w:rsidSect="00CA757B">
      <w:footerReference w:type="default" r:id="rId10"/>
      <w:pgSz w:w="11906" w:h="16838" w:code="9"/>
      <w:pgMar w:top="1701" w:right="1418" w:bottom="1418"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9ED" w:rsidRDefault="00B069ED" w:rsidP="00AC596B">
      <w:r>
        <w:separator/>
      </w:r>
    </w:p>
  </w:endnote>
  <w:endnote w:type="continuationSeparator" w:id="0">
    <w:p w:rsidR="00B069ED" w:rsidRDefault="00B069ED" w:rsidP="00AC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NewRoman">
    <w:altName w:val="Times New Roman"/>
    <w:charset w:val="00"/>
    <w:family w:val="auto"/>
    <w:pitch w:val="default"/>
  </w:font>
  <w:font w:name="EUAlbertin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A60" w:rsidRPr="00BF7DCC" w:rsidRDefault="00562A60" w:rsidP="00BF7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9ED" w:rsidRDefault="00B069ED" w:rsidP="00AC596B">
      <w:r>
        <w:separator/>
      </w:r>
    </w:p>
  </w:footnote>
  <w:footnote w:type="continuationSeparator" w:id="0">
    <w:p w:rsidR="00B069ED" w:rsidRDefault="00B069ED" w:rsidP="00AC596B">
      <w:r>
        <w:continuationSeparator/>
      </w:r>
    </w:p>
  </w:footnote>
  <w:footnote w:id="1">
    <w:p w:rsidR="00562A60" w:rsidRPr="005C08B9" w:rsidRDefault="00562A60" w:rsidP="00975DF5">
      <w:pPr>
        <w:pStyle w:val="FootnoteText"/>
      </w:pPr>
      <w:r w:rsidRPr="004E472B">
        <w:rPr>
          <w:rStyle w:val="FootnoteReference"/>
        </w:rPr>
        <w:footnoteRef/>
      </w:r>
      <w:r w:rsidRPr="004E472B">
        <w:t xml:space="preserve"> </w:t>
      </w:r>
      <w:r w:rsidRPr="005C08B9">
        <w:t>Prema sektorskoj podjeli sukladno IPCC metodologiji</w:t>
      </w:r>
      <w:r w:rsidRPr="005C08B9" w:rsidDel="00352800">
        <w:t xml:space="preserve"> </w:t>
      </w:r>
    </w:p>
  </w:footnote>
  <w:footnote w:id="2">
    <w:p w:rsidR="00562A60" w:rsidRPr="004E472B" w:rsidRDefault="00562A60" w:rsidP="00975DF5">
      <w:pPr>
        <w:pStyle w:val="FootnoteText"/>
        <w:rPr>
          <w:lang w:val="en-US"/>
        </w:rPr>
      </w:pPr>
      <w:r w:rsidRPr="005C08B9">
        <w:rPr>
          <w:rStyle w:val="FootnoteReference"/>
        </w:rPr>
        <w:footnoteRef/>
      </w:r>
      <w:r w:rsidRPr="005C08B9">
        <w:t xml:space="preserve"> </w:t>
      </w:r>
      <w:r w:rsidRPr="005C08B9">
        <w:t xml:space="preserve">Prema </w:t>
      </w:r>
      <w:r w:rsidRPr="005C08B9">
        <w:t>dimenzijama energetske unije</w:t>
      </w:r>
    </w:p>
  </w:footnote>
  <w:footnote w:id="3">
    <w:p w:rsidR="00562A60" w:rsidRDefault="00562A60" w:rsidP="00CB63E8">
      <w:pPr>
        <w:pStyle w:val="FootnoteText"/>
        <w:spacing w:line="240" w:lineRule="auto"/>
        <w:rPr>
          <w:szCs w:val="18"/>
        </w:rPr>
      </w:pPr>
      <w:r>
        <w:rPr>
          <w:rStyle w:val="FootnoteReference"/>
          <w:szCs w:val="18"/>
        </w:rPr>
        <w:footnoteRef/>
      </w:r>
      <w:r>
        <w:rPr>
          <w:szCs w:val="18"/>
        </w:rPr>
        <w:t xml:space="preserve"> Studija </w:t>
      </w:r>
      <w:r>
        <w:rPr>
          <w:szCs w:val="18"/>
        </w:rPr>
        <w:t xml:space="preserve">procjene utjecaja okvira a klimatsko energetsku politiku do 2030. na gospodarske subjekte ETS sustava u Republici Hrvatskoj u razdoblju do 2030 godine, EKONERG 2015.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0968682"/>
      <w:docPartObj>
        <w:docPartGallery w:val="Page Numbers (Top of Page)"/>
        <w:docPartUnique/>
      </w:docPartObj>
    </w:sdtPr>
    <w:sdtContent>
      <w:p w:rsidR="00562A60" w:rsidRDefault="00562A60">
        <w:pPr>
          <w:pStyle w:val="Header"/>
          <w:jc w:val="center"/>
        </w:pPr>
        <w:r>
          <w:fldChar w:fldCharType="begin"/>
        </w:r>
        <w:r>
          <w:instrText>PAGE   \* MERGEFORMAT</w:instrText>
        </w:r>
        <w:r>
          <w:fldChar w:fldCharType="separate"/>
        </w:r>
        <w:r>
          <w:rPr>
            <w:noProof/>
          </w:rPr>
          <w:t>i</w:t>
        </w:r>
        <w:r>
          <w:fldChar w:fldCharType="end"/>
        </w:r>
      </w:p>
    </w:sdtContent>
  </w:sdt>
  <w:p w:rsidR="00562A60" w:rsidRDefault="00562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5ED8"/>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22126"/>
    <w:multiLevelType w:val="hybridMultilevel"/>
    <w:tmpl w:val="322653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3158AC"/>
    <w:multiLevelType w:val="hybridMultilevel"/>
    <w:tmpl w:val="05141DFE"/>
    <w:lvl w:ilvl="0" w:tplc="52A88E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B945B7"/>
    <w:multiLevelType w:val="hybridMultilevel"/>
    <w:tmpl w:val="412C9C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5BE6B78"/>
    <w:multiLevelType w:val="hybridMultilevel"/>
    <w:tmpl w:val="465233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5FC3BC8"/>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2F7A8F"/>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CF69A0"/>
    <w:multiLevelType w:val="hybridMultilevel"/>
    <w:tmpl w:val="D610B156"/>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87782"/>
    <w:multiLevelType w:val="hybridMultilevel"/>
    <w:tmpl w:val="1FC4210A"/>
    <w:lvl w:ilvl="0" w:tplc="61D81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A4C2A22"/>
    <w:multiLevelType w:val="hybridMultilevel"/>
    <w:tmpl w:val="34CAA548"/>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A645B06"/>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A02CD2"/>
    <w:multiLevelType w:val="hybridMultilevel"/>
    <w:tmpl w:val="568CB6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C5A1458"/>
    <w:multiLevelType w:val="hybridMultilevel"/>
    <w:tmpl w:val="F63C17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C6B228E"/>
    <w:multiLevelType w:val="hybridMultilevel"/>
    <w:tmpl w:val="D44288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D843C8E"/>
    <w:multiLevelType w:val="hybridMultilevel"/>
    <w:tmpl w:val="9A6485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E575C67"/>
    <w:multiLevelType w:val="hybridMultilevel"/>
    <w:tmpl w:val="409C03A4"/>
    <w:lvl w:ilvl="0" w:tplc="170A4A2E">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0D43614"/>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15F7017"/>
    <w:multiLevelType w:val="hybridMultilevel"/>
    <w:tmpl w:val="F04061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22D5B98"/>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BF230B"/>
    <w:multiLevelType w:val="hybridMultilevel"/>
    <w:tmpl w:val="0AA82358"/>
    <w:lvl w:ilvl="0" w:tplc="52A88E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4092BFD"/>
    <w:multiLevelType w:val="hybridMultilevel"/>
    <w:tmpl w:val="7B2E21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4CA1FD5"/>
    <w:multiLevelType w:val="hybridMultilevel"/>
    <w:tmpl w:val="0DD63414"/>
    <w:lvl w:ilvl="0" w:tplc="5DF01C1C">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5363BBF"/>
    <w:multiLevelType w:val="hybridMultilevel"/>
    <w:tmpl w:val="52F607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5B55384"/>
    <w:multiLevelType w:val="hybridMultilevel"/>
    <w:tmpl w:val="1B9EE822"/>
    <w:lvl w:ilvl="0" w:tplc="11E61E04">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7F22AA8"/>
    <w:multiLevelType w:val="hybridMultilevel"/>
    <w:tmpl w:val="6A4A045A"/>
    <w:lvl w:ilvl="0" w:tplc="15AA74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87D76B9"/>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191266"/>
    <w:multiLevelType w:val="hybridMultilevel"/>
    <w:tmpl w:val="F63C17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C1E2D66"/>
    <w:multiLevelType w:val="hybridMultilevel"/>
    <w:tmpl w:val="28EA0A46"/>
    <w:lvl w:ilvl="0" w:tplc="66DEC31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C237B9E"/>
    <w:multiLevelType w:val="hybridMultilevel"/>
    <w:tmpl w:val="3D684784"/>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C4A5AE5"/>
    <w:multiLevelType w:val="hybridMultilevel"/>
    <w:tmpl w:val="A386D54E"/>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DC406F5"/>
    <w:multiLevelType w:val="hybridMultilevel"/>
    <w:tmpl w:val="1778CB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F785581"/>
    <w:multiLevelType w:val="hybridMultilevel"/>
    <w:tmpl w:val="12C8EA16"/>
    <w:lvl w:ilvl="0" w:tplc="4B34982A">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2F7A1858"/>
    <w:multiLevelType w:val="hybridMultilevel"/>
    <w:tmpl w:val="412C9C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8683E1C"/>
    <w:multiLevelType w:val="hybridMultilevel"/>
    <w:tmpl w:val="FBB265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90365A8"/>
    <w:multiLevelType w:val="hybridMultilevel"/>
    <w:tmpl w:val="4900EC2E"/>
    <w:lvl w:ilvl="0" w:tplc="C3C6FA16">
      <w:start w:val="5"/>
      <w:numFmt w:val="bullet"/>
      <w:lvlText w:val="-"/>
      <w:lvlJc w:val="left"/>
      <w:pPr>
        <w:ind w:left="720" w:hanging="360"/>
      </w:pPr>
      <w:rPr>
        <w:rFonts w:ascii="Arial" w:hAnsi="Arial"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CA248E6"/>
    <w:multiLevelType w:val="hybridMultilevel"/>
    <w:tmpl w:val="CE202522"/>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2E043E1"/>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8609F4"/>
    <w:multiLevelType w:val="hybridMultilevel"/>
    <w:tmpl w:val="53042E58"/>
    <w:lvl w:ilvl="0" w:tplc="3FDAFBF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70A1C0B"/>
    <w:multiLevelType w:val="hybridMultilevel"/>
    <w:tmpl w:val="2BA265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98071AA"/>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E072935"/>
    <w:multiLevelType w:val="hybridMultilevel"/>
    <w:tmpl w:val="D174091E"/>
    <w:lvl w:ilvl="0" w:tplc="B5A035E4">
      <w:start w:val="1"/>
      <w:numFmt w:val="decimal"/>
      <w:lvlText w:val="%1."/>
      <w:lvlJc w:val="left"/>
      <w:pPr>
        <w:ind w:left="720" w:hanging="360"/>
      </w:pPr>
      <w:rPr>
        <w:rFonts w:ascii="Arial" w:hAnsi="Arial" w:hint="default"/>
        <w:b w:val="0"/>
        <w:i/>
        <w:color w:val="auto"/>
        <w:sz w:val="20"/>
        <w:szCs w:val="20"/>
      </w:rPr>
    </w:lvl>
    <w:lvl w:ilvl="1" w:tplc="283ABD92">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E5F6331"/>
    <w:multiLevelType w:val="hybridMultilevel"/>
    <w:tmpl w:val="29A65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F7F052E"/>
    <w:multiLevelType w:val="multilevel"/>
    <w:tmpl w:val="AB28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C46210"/>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1045507"/>
    <w:multiLevelType w:val="hybridMultilevel"/>
    <w:tmpl w:val="D8607B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1376E50"/>
    <w:multiLevelType w:val="hybridMultilevel"/>
    <w:tmpl w:val="755A5B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1F43DD2"/>
    <w:multiLevelType w:val="hybridMultilevel"/>
    <w:tmpl w:val="DD7C91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3094C4E"/>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3DB32CA"/>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3DF5141"/>
    <w:multiLevelType w:val="hybridMultilevel"/>
    <w:tmpl w:val="E2C672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54A4675A"/>
    <w:multiLevelType w:val="hybridMultilevel"/>
    <w:tmpl w:val="71F8BC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54A912B9"/>
    <w:multiLevelType w:val="hybridMultilevel"/>
    <w:tmpl w:val="0D2EDF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55C40A05"/>
    <w:multiLevelType w:val="hybridMultilevel"/>
    <w:tmpl w:val="412C9C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575E69C6"/>
    <w:multiLevelType w:val="hybridMultilevel"/>
    <w:tmpl w:val="15E44A3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9F12910"/>
    <w:multiLevelType w:val="hybridMultilevel"/>
    <w:tmpl w:val="082283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E3D20DE"/>
    <w:multiLevelType w:val="hybridMultilevel"/>
    <w:tmpl w:val="17C4067E"/>
    <w:lvl w:ilvl="0" w:tplc="8ADECEAE">
      <w:start w:val="1"/>
      <w:numFmt w:val="bullet"/>
      <w:lvlText w:val=""/>
      <w:lvlJc w:val="left"/>
      <w:pPr>
        <w:ind w:left="720" w:hanging="360"/>
      </w:pPr>
      <w:rPr>
        <w:rFonts w:ascii="Symbol" w:hAnsi="Symbol" w:hint="default"/>
      </w:rPr>
    </w:lvl>
    <w:lvl w:ilvl="1" w:tplc="041A0003" w:tentative="1">
      <w:start w:val="1"/>
      <w:numFmt w:val="bullet"/>
      <w:pStyle w:val="NASLOV12Char"/>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pStyle w:val="TableofAuthorities"/>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604C7FC0"/>
    <w:multiLevelType w:val="hybridMultilevel"/>
    <w:tmpl w:val="2BA265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0AB54B3"/>
    <w:multiLevelType w:val="hybridMultilevel"/>
    <w:tmpl w:val="2EEC59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62454C6C"/>
    <w:multiLevelType w:val="hybridMultilevel"/>
    <w:tmpl w:val="1ADE1D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63B326F4"/>
    <w:multiLevelType w:val="hybridMultilevel"/>
    <w:tmpl w:val="2EE690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6AA758DC"/>
    <w:multiLevelType w:val="hybridMultilevel"/>
    <w:tmpl w:val="5C8E33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6B8106AE"/>
    <w:multiLevelType w:val="hybridMultilevel"/>
    <w:tmpl w:val="E83CF7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6BB84F45"/>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D7C0747"/>
    <w:multiLevelType w:val="hybridMultilevel"/>
    <w:tmpl w:val="DDBAB9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72225AD3"/>
    <w:multiLevelType w:val="hybridMultilevel"/>
    <w:tmpl w:val="0A14F65A"/>
    <w:lvl w:ilvl="0" w:tplc="041A0001">
      <w:start w:val="1"/>
      <w:numFmt w:val="bullet"/>
      <w:lvlText w:val=""/>
      <w:lvlJc w:val="left"/>
      <w:pPr>
        <w:ind w:left="720" w:hanging="360"/>
      </w:pPr>
      <w:rPr>
        <w:rFonts w:ascii="Symbol" w:hAnsi="Symbol" w:hint="default"/>
        <w:b w:val="0"/>
        <w:i w:val="0"/>
        <w:color w:val="auto"/>
        <w:sz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74234187"/>
    <w:multiLevelType w:val="hybridMultilevel"/>
    <w:tmpl w:val="364688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74470619"/>
    <w:multiLevelType w:val="hybridMultilevel"/>
    <w:tmpl w:val="23BE9B40"/>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75371943"/>
    <w:multiLevelType w:val="hybridMultilevel"/>
    <w:tmpl w:val="CE7040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7586676A"/>
    <w:multiLevelType w:val="hybridMultilevel"/>
    <w:tmpl w:val="365001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771C331B"/>
    <w:multiLevelType w:val="hybridMultilevel"/>
    <w:tmpl w:val="48FAF166"/>
    <w:lvl w:ilvl="0" w:tplc="7C6CA7C2">
      <w:start w:val="1"/>
      <w:numFmt w:val="decimal"/>
      <w:lvlText w:val="%1."/>
      <w:lvlJc w:val="left"/>
      <w:pPr>
        <w:ind w:left="720" w:hanging="360"/>
      </w:pPr>
      <w:rPr>
        <w:rFonts w:ascii="Arial" w:hAnsi="Arial" w:hint="default"/>
        <w:b w:val="0"/>
        <w:i w:val="0"/>
        <w:color w:val="auto"/>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7A31019E"/>
    <w:multiLevelType w:val="hybridMultilevel"/>
    <w:tmpl w:val="5C3281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7ABC5619"/>
    <w:multiLevelType w:val="hybridMultilevel"/>
    <w:tmpl w:val="9BACB390"/>
    <w:lvl w:ilvl="0" w:tplc="44A60D7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7BFD6906"/>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DD81B85"/>
    <w:multiLevelType w:val="hybridMultilevel"/>
    <w:tmpl w:val="C7D0F6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7E026258"/>
    <w:multiLevelType w:val="hybridMultilevel"/>
    <w:tmpl w:val="16B803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7F1A61CF"/>
    <w:multiLevelType w:val="hybridMultilevel"/>
    <w:tmpl w:val="F63C17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5"/>
  </w:num>
  <w:num w:numId="2">
    <w:abstractNumId w:val="7"/>
  </w:num>
  <w:num w:numId="3">
    <w:abstractNumId w:val="64"/>
  </w:num>
  <w:num w:numId="4">
    <w:abstractNumId w:val="22"/>
  </w:num>
  <w:num w:numId="5">
    <w:abstractNumId w:val="54"/>
  </w:num>
  <w:num w:numId="6">
    <w:abstractNumId w:val="13"/>
  </w:num>
  <w:num w:numId="7">
    <w:abstractNumId w:val="53"/>
  </w:num>
  <w:num w:numId="8">
    <w:abstractNumId w:val="11"/>
  </w:num>
  <w:num w:numId="9">
    <w:abstractNumId w:val="51"/>
  </w:num>
  <w:num w:numId="10">
    <w:abstractNumId w:val="42"/>
  </w:num>
  <w:num w:numId="11">
    <w:abstractNumId w:val="20"/>
  </w:num>
  <w:num w:numId="12">
    <w:abstractNumId w:val="50"/>
  </w:num>
  <w:num w:numId="13">
    <w:abstractNumId w:val="16"/>
  </w:num>
  <w:num w:numId="14">
    <w:abstractNumId w:val="70"/>
  </w:num>
  <w:num w:numId="15">
    <w:abstractNumId w:val="61"/>
  </w:num>
  <w:num w:numId="16">
    <w:abstractNumId w:val="68"/>
  </w:num>
  <w:num w:numId="17">
    <w:abstractNumId w:val="57"/>
  </w:num>
  <w:num w:numId="18">
    <w:abstractNumId w:val="4"/>
  </w:num>
  <w:num w:numId="19">
    <w:abstractNumId w:val="62"/>
  </w:num>
  <w:num w:numId="20">
    <w:abstractNumId w:val="40"/>
  </w:num>
  <w:num w:numId="21">
    <w:abstractNumId w:val="69"/>
  </w:num>
  <w:num w:numId="22">
    <w:abstractNumId w:val="75"/>
  </w:num>
  <w:num w:numId="23">
    <w:abstractNumId w:val="52"/>
  </w:num>
  <w:num w:numId="24">
    <w:abstractNumId w:val="38"/>
  </w:num>
  <w:num w:numId="25">
    <w:abstractNumId w:val="1"/>
  </w:num>
  <w:num w:numId="26">
    <w:abstractNumId w:val="8"/>
  </w:num>
  <w:num w:numId="27">
    <w:abstractNumId w:val="24"/>
  </w:num>
  <w:num w:numId="28">
    <w:abstractNumId w:val="2"/>
  </w:num>
  <w:num w:numId="29">
    <w:abstractNumId w:val="19"/>
  </w:num>
  <w:num w:numId="30">
    <w:abstractNumId w:val="17"/>
  </w:num>
  <w:num w:numId="31">
    <w:abstractNumId w:val="73"/>
  </w:num>
  <w:num w:numId="32">
    <w:abstractNumId w:val="44"/>
  </w:num>
  <w:num w:numId="33">
    <w:abstractNumId w:val="21"/>
  </w:num>
  <w:num w:numId="34">
    <w:abstractNumId w:val="58"/>
  </w:num>
  <w:num w:numId="35">
    <w:abstractNumId w:val="71"/>
  </w:num>
  <w:num w:numId="36">
    <w:abstractNumId w:val="27"/>
  </w:num>
  <w:num w:numId="37">
    <w:abstractNumId w:val="23"/>
  </w:num>
  <w:num w:numId="38">
    <w:abstractNumId w:val="37"/>
  </w:num>
  <w:num w:numId="39">
    <w:abstractNumId w:val="15"/>
  </w:num>
  <w:num w:numId="40">
    <w:abstractNumId w:val="59"/>
  </w:num>
  <w:num w:numId="41">
    <w:abstractNumId w:val="66"/>
  </w:num>
  <w:num w:numId="42">
    <w:abstractNumId w:val="28"/>
  </w:num>
  <w:num w:numId="43">
    <w:abstractNumId w:val="12"/>
  </w:num>
  <w:num w:numId="44">
    <w:abstractNumId w:val="3"/>
  </w:num>
  <w:num w:numId="45">
    <w:abstractNumId w:val="56"/>
  </w:num>
  <w:num w:numId="46">
    <w:abstractNumId w:val="26"/>
  </w:num>
  <w:num w:numId="47">
    <w:abstractNumId w:val="32"/>
  </w:num>
  <w:num w:numId="48">
    <w:abstractNumId w:val="45"/>
  </w:num>
  <w:num w:numId="49">
    <w:abstractNumId w:val="65"/>
  </w:num>
  <w:num w:numId="50">
    <w:abstractNumId w:val="34"/>
  </w:num>
  <w:num w:numId="51">
    <w:abstractNumId w:val="6"/>
  </w:num>
  <w:num w:numId="52">
    <w:abstractNumId w:val="72"/>
  </w:num>
  <w:num w:numId="53">
    <w:abstractNumId w:val="39"/>
  </w:num>
  <w:num w:numId="54">
    <w:abstractNumId w:val="18"/>
  </w:num>
  <w:num w:numId="55">
    <w:abstractNumId w:val="43"/>
  </w:num>
  <w:num w:numId="56">
    <w:abstractNumId w:val="47"/>
  </w:num>
  <w:num w:numId="57">
    <w:abstractNumId w:val="25"/>
  </w:num>
  <w:num w:numId="58">
    <w:abstractNumId w:val="10"/>
  </w:num>
  <w:num w:numId="59">
    <w:abstractNumId w:val="48"/>
  </w:num>
  <w:num w:numId="60">
    <w:abstractNumId w:val="5"/>
  </w:num>
  <w:num w:numId="61">
    <w:abstractNumId w:val="0"/>
  </w:num>
  <w:num w:numId="62">
    <w:abstractNumId w:val="33"/>
  </w:num>
  <w:num w:numId="63">
    <w:abstractNumId w:val="46"/>
  </w:num>
  <w:num w:numId="64">
    <w:abstractNumId w:val="35"/>
  </w:num>
  <w:num w:numId="65">
    <w:abstractNumId w:val="9"/>
  </w:num>
  <w:num w:numId="66">
    <w:abstractNumId w:val="29"/>
  </w:num>
  <w:num w:numId="67">
    <w:abstractNumId w:val="36"/>
  </w:num>
  <w:num w:numId="68">
    <w:abstractNumId w:val="41"/>
  </w:num>
  <w:num w:numId="69">
    <w:abstractNumId w:val="63"/>
  </w:num>
  <w:num w:numId="70">
    <w:abstractNumId w:val="74"/>
  </w:num>
  <w:num w:numId="71">
    <w:abstractNumId w:val="60"/>
  </w:num>
  <w:num w:numId="72">
    <w:abstractNumId w:val="14"/>
  </w:num>
  <w:num w:numId="73">
    <w:abstractNumId w:val="67"/>
  </w:num>
  <w:num w:numId="74">
    <w:abstractNumId w:val="49"/>
  </w:num>
  <w:num w:numId="75">
    <w:abstractNumId w:val="30"/>
  </w:num>
  <w:num w:numId="76">
    <w:abstractNumId w:val="3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oNotUseMarginsForDrawingGridOrigin/>
  <w:drawingGridVerticalOrigin w:val="1701"/>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A1E"/>
    <w:rsid w:val="00000704"/>
    <w:rsid w:val="000007AA"/>
    <w:rsid w:val="000011E6"/>
    <w:rsid w:val="000013EE"/>
    <w:rsid w:val="00005B91"/>
    <w:rsid w:val="00005EB6"/>
    <w:rsid w:val="00007BC5"/>
    <w:rsid w:val="000103A5"/>
    <w:rsid w:val="000127E4"/>
    <w:rsid w:val="00013E6C"/>
    <w:rsid w:val="00014366"/>
    <w:rsid w:val="000154C4"/>
    <w:rsid w:val="00016E5D"/>
    <w:rsid w:val="00017AFC"/>
    <w:rsid w:val="000211C2"/>
    <w:rsid w:val="00021630"/>
    <w:rsid w:val="000225E0"/>
    <w:rsid w:val="00025C46"/>
    <w:rsid w:val="00025D08"/>
    <w:rsid w:val="000273A4"/>
    <w:rsid w:val="00030A3B"/>
    <w:rsid w:val="00031149"/>
    <w:rsid w:val="00031C68"/>
    <w:rsid w:val="00033138"/>
    <w:rsid w:val="00033869"/>
    <w:rsid w:val="000365C3"/>
    <w:rsid w:val="00036AF4"/>
    <w:rsid w:val="00036B8A"/>
    <w:rsid w:val="000413CB"/>
    <w:rsid w:val="00041862"/>
    <w:rsid w:val="000426A6"/>
    <w:rsid w:val="000444B1"/>
    <w:rsid w:val="000449B0"/>
    <w:rsid w:val="00046221"/>
    <w:rsid w:val="0005063A"/>
    <w:rsid w:val="0005066B"/>
    <w:rsid w:val="00053A1E"/>
    <w:rsid w:val="00055094"/>
    <w:rsid w:val="00055248"/>
    <w:rsid w:val="00055A8A"/>
    <w:rsid w:val="0006208E"/>
    <w:rsid w:val="00062649"/>
    <w:rsid w:val="000649AF"/>
    <w:rsid w:val="000651C2"/>
    <w:rsid w:val="000670E3"/>
    <w:rsid w:val="000673C7"/>
    <w:rsid w:val="00067D5C"/>
    <w:rsid w:val="00067F46"/>
    <w:rsid w:val="00070169"/>
    <w:rsid w:val="0007087A"/>
    <w:rsid w:val="00070AAB"/>
    <w:rsid w:val="00070FD9"/>
    <w:rsid w:val="000744C9"/>
    <w:rsid w:val="000755D2"/>
    <w:rsid w:val="00075C91"/>
    <w:rsid w:val="00076252"/>
    <w:rsid w:val="00077B10"/>
    <w:rsid w:val="000807FB"/>
    <w:rsid w:val="00081C4B"/>
    <w:rsid w:val="00081F95"/>
    <w:rsid w:val="00083998"/>
    <w:rsid w:val="000847E7"/>
    <w:rsid w:val="00084946"/>
    <w:rsid w:val="000867FB"/>
    <w:rsid w:val="00092777"/>
    <w:rsid w:val="000930AD"/>
    <w:rsid w:val="00095B26"/>
    <w:rsid w:val="00096B55"/>
    <w:rsid w:val="000A0C13"/>
    <w:rsid w:val="000A1B1C"/>
    <w:rsid w:val="000A304B"/>
    <w:rsid w:val="000A4882"/>
    <w:rsid w:val="000A4891"/>
    <w:rsid w:val="000A4E38"/>
    <w:rsid w:val="000A557A"/>
    <w:rsid w:val="000A5963"/>
    <w:rsid w:val="000A61F8"/>
    <w:rsid w:val="000A754A"/>
    <w:rsid w:val="000B27D9"/>
    <w:rsid w:val="000B31E3"/>
    <w:rsid w:val="000B3839"/>
    <w:rsid w:val="000B4D3C"/>
    <w:rsid w:val="000B5078"/>
    <w:rsid w:val="000B6D67"/>
    <w:rsid w:val="000B6DE0"/>
    <w:rsid w:val="000C165B"/>
    <w:rsid w:val="000C1E00"/>
    <w:rsid w:val="000C3D2A"/>
    <w:rsid w:val="000C4663"/>
    <w:rsid w:val="000C525C"/>
    <w:rsid w:val="000C5460"/>
    <w:rsid w:val="000C576E"/>
    <w:rsid w:val="000C5A16"/>
    <w:rsid w:val="000C7B8E"/>
    <w:rsid w:val="000D1CAB"/>
    <w:rsid w:val="000D2C3F"/>
    <w:rsid w:val="000D3FFA"/>
    <w:rsid w:val="000D4A4D"/>
    <w:rsid w:val="000D5F10"/>
    <w:rsid w:val="000D6805"/>
    <w:rsid w:val="000E023C"/>
    <w:rsid w:val="000E0755"/>
    <w:rsid w:val="000E17C6"/>
    <w:rsid w:val="000E22D3"/>
    <w:rsid w:val="000E50DC"/>
    <w:rsid w:val="000E5150"/>
    <w:rsid w:val="000F1166"/>
    <w:rsid w:val="000F16AB"/>
    <w:rsid w:val="000F23C5"/>
    <w:rsid w:val="000F3036"/>
    <w:rsid w:val="000F67CB"/>
    <w:rsid w:val="000F72F7"/>
    <w:rsid w:val="001003A4"/>
    <w:rsid w:val="001019EA"/>
    <w:rsid w:val="00102171"/>
    <w:rsid w:val="001021D5"/>
    <w:rsid w:val="00102D97"/>
    <w:rsid w:val="001045AA"/>
    <w:rsid w:val="00104626"/>
    <w:rsid w:val="00107A5A"/>
    <w:rsid w:val="00107ED4"/>
    <w:rsid w:val="00110F2D"/>
    <w:rsid w:val="00111275"/>
    <w:rsid w:val="001113F7"/>
    <w:rsid w:val="0011259A"/>
    <w:rsid w:val="001136D2"/>
    <w:rsid w:val="0011422E"/>
    <w:rsid w:val="0011524B"/>
    <w:rsid w:val="001158D9"/>
    <w:rsid w:val="00115BA2"/>
    <w:rsid w:val="00115D2B"/>
    <w:rsid w:val="0011672D"/>
    <w:rsid w:val="00117BD4"/>
    <w:rsid w:val="00120142"/>
    <w:rsid w:val="00121C18"/>
    <w:rsid w:val="00122793"/>
    <w:rsid w:val="001233C1"/>
    <w:rsid w:val="00124535"/>
    <w:rsid w:val="001259E2"/>
    <w:rsid w:val="001301B1"/>
    <w:rsid w:val="00134187"/>
    <w:rsid w:val="001348C6"/>
    <w:rsid w:val="0013655E"/>
    <w:rsid w:val="00136574"/>
    <w:rsid w:val="00140516"/>
    <w:rsid w:val="001407E2"/>
    <w:rsid w:val="00140C34"/>
    <w:rsid w:val="001428F4"/>
    <w:rsid w:val="001436AA"/>
    <w:rsid w:val="001437A8"/>
    <w:rsid w:val="00144765"/>
    <w:rsid w:val="0014549B"/>
    <w:rsid w:val="00145653"/>
    <w:rsid w:val="00150B76"/>
    <w:rsid w:val="00151E17"/>
    <w:rsid w:val="00152376"/>
    <w:rsid w:val="0015338E"/>
    <w:rsid w:val="00154144"/>
    <w:rsid w:val="001553E8"/>
    <w:rsid w:val="00155B49"/>
    <w:rsid w:val="00156DF3"/>
    <w:rsid w:val="001647DE"/>
    <w:rsid w:val="001652BB"/>
    <w:rsid w:val="0016569F"/>
    <w:rsid w:val="001663AE"/>
    <w:rsid w:val="0016683C"/>
    <w:rsid w:val="00167669"/>
    <w:rsid w:val="00167E7E"/>
    <w:rsid w:val="001756B4"/>
    <w:rsid w:val="0018097F"/>
    <w:rsid w:val="00180D47"/>
    <w:rsid w:val="00182098"/>
    <w:rsid w:val="0018242C"/>
    <w:rsid w:val="001824D5"/>
    <w:rsid w:val="0018394F"/>
    <w:rsid w:val="001852F6"/>
    <w:rsid w:val="001853FF"/>
    <w:rsid w:val="00185A20"/>
    <w:rsid w:val="001860A3"/>
    <w:rsid w:val="00186FC2"/>
    <w:rsid w:val="00187B06"/>
    <w:rsid w:val="00190612"/>
    <w:rsid w:val="00192071"/>
    <w:rsid w:val="00192759"/>
    <w:rsid w:val="001930E3"/>
    <w:rsid w:val="00193ACC"/>
    <w:rsid w:val="00196332"/>
    <w:rsid w:val="001965C5"/>
    <w:rsid w:val="00196B65"/>
    <w:rsid w:val="001A0270"/>
    <w:rsid w:val="001A0C18"/>
    <w:rsid w:val="001A0C84"/>
    <w:rsid w:val="001A14A4"/>
    <w:rsid w:val="001A1858"/>
    <w:rsid w:val="001A1C10"/>
    <w:rsid w:val="001A1CFE"/>
    <w:rsid w:val="001A22B8"/>
    <w:rsid w:val="001A3AB9"/>
    <w:rsid w:val="001A61C0"/>
    <w:rsid w:val="001B1C9F"/>
    <w:rsid w:val="001B2D33"/>
    <w:rsid w:val="001B5298"/>
    <w:rsid w:val="001B5C7C"/>
    <w:rsid w:val="001C0EE5"/>
    <w:rsid w:val="001C12CF"/>
    <w:rsid w:val="001C1404"/>
    <w:rsid w:val="001C47FB"/>
    <w:rsid w:val="001C50D6"/>
    <w:rsid w:val="001C5803"/>
    <w:rsid w:val="001D04C4"/>
    <w:rsid w:val="001D272D"/>
    <w:rsid w:val="001D3C2E"/>
    <w:rsid w:val="001D3E1B"/>
    <w:rsid w:val="001D44CC"/>
    <w:rsid w:val="001D6533"/>
    <w:rsid w:val="001D7650"/>
    <w:rsid w:val="001D7A3E"/>
    <w:rsid w:val="001D7D80"/>
    <w:rsid w:val="001E0EA4"/>
    <w:rsid w:val="001E16DD"/>
    <w:rsid w:val="001E16F7"/>
    <w:rsid w:val="001E184D"/>
    <w:rsid w:val="001E1C15"/>
    <w:rsid w:val="001E3B08"/>
    <w:rsid w:val="001E4156"/>
    <w:rsid w:val="001E5A5D"/>
    <w:rsid w:val="001E5BA3"/>
    <w:rsid w:val="001E6AFA"/>
    <w:rsid w:val="001E7526"/>
    <w:rsid w:val="001F1434"/>
    <w:rsid w:val="001F5A68"/>
    <w:rsid w:val="0020078A"/>
    <w:rsid w:val="00201054"/>
    <w:rsid w:val="00202CCC"/>
    <w:rsid w:val="002033E0"/>
    <w:rsid w:val="00203826"/>
    <w:rsid w:val="00205331"/>
    <w:rsid w:val="002064CD"/>
    <w:rsid w:val="00207D0E"/>
    <w:rsid w:val="002100C0"/>
    <w:rsid w:val="002118CC"/>
    <w:rsid w:val="002131B3"/>
    <w:rsid w:val="002144A8"/>
    <w:rsid w:val="00215482"/>
    <w:rsid w:val="002156E3"/>
    <w:rsid w:val="00216958"/>
    <w:rsid w:val="002178F3"/>
    <w:rsid w:val="002200DF"/>
    <w:rsid w:val="002207E4"/>
    <w:rsid w:val="00220DE6"/>
    <w:rsid w:val="00223F67"/>
    <w:rsid w:val="00224D1A"/>
    <w:rsid w:val="00224FF0"/>
    <w:rsid w:val="00226F0D"/>
    <w:rsid w:val="0022778E"/>
    <w:rsid w:val="00227B51"/>
    <w:rsid w:val="0023061F"/>
    <w:rsid w:val="00231191"/>
    <w:rsid w:val="002318C2"/>
    <w:rsid w:val="00234C4C"/>
    <w:rsid w:val="00236080"/>
    <w:rsid w:val="00236E21"/>
    <w:rsid w:val="002400C5"/>
    <w:rsid w:val="002408AD"/>
    <w:rsid w:val="00240D3A"/>
    <w:rsid w:val="00240D4D"/>
    <w:rsid w:val="00240F6E"/>
    <w:rsid w:val="0024119F"/>
    <w:rsid w:val="00242E32"/>
    <w:rsid w:val="00242EB2"/>
    <w:rsid w:val="00243A12"/>
    <w:rsid w:val="0024501F"/>
    <w:rsid w:val="002451CD"/>
    <w:rsid w:val="002453AD"/>
    <w:rsid w:val="00250428"/>
    <w:rsid w:val="00251220"/>
    <w:rsid w:val="00252CE7"/>
    <w:rsid w:val="00252D05"/>
    <w:rsid w:val="0025333B"/>
    <w:rsid w:val="002536EF"/>
    <w:rsid w:val="00253F69"/>
    <w:rsid w:val="00256A62"/>
    <w:rsid w:val="002601F6"/>
    <w:rsid w:val="002614BE"/>
    <w:rsid w:val="002628C0"/>
    <w:rsid w:val="00262F14"/>
    <w:rsid w:val="00263F93"/>
    <w:rsid w:val="002654CB"/>
    <w:rsid w:val="002661AA"/>
    <w:rsid w:val="002664F4"/>
    <w:rsid w:val="00267090"/>
    <w:rsid w:val="0027046E"/>
    <w:rsid w:val="00270AC9"/>
    <w:rsid w:val="00270C8F"/>
    <w:rsid w:val="00271CBC"/>
    <w:rsid w:val="0027392B"/>
    <w:rsid w:val="00273B00"/>
    <w:rsid w:val="002740EF"/>
    <w:rsid w:val="00276AD0"/>
    <w:rsid w:val="002770C9"/>
    <w:rsid w:val="002808DD"/>
    <w:rsid w:val="0028114A"/>
    <w:rsid w:val="00281507"/>
    <w:rsid w:val="00281D42"/>
    <w:rsid w:val="002832B3"/>
    <w:rsid w:val="00283BB7"/>
    <w:rsid w:val="00283C02"/>
    <w:rsid w:val="0028584C"/>
    <w:rsid w:val="00285D22"/>
    <w:rsid w:val="00286162"/>
    <w:rsid w:val="0029096C"/>
    <w:rsid w:val="0029189C"/>
    <w:rsid w:val="00291D55"/>
    <w:rsid w:val="00292D45"/>
    <w:rsid w:val="00292DC4"/>
    <w:rsid w:val="00293A61"/>
    <w:rsid w:val="0029544F"/>
    <w:rsid w:val="00295EDE"/>
    <w:rsid w:val="0029715F"/>
    <w:rsid w:val="002A0319"/>
    <w:rsid w:val="002A2D05"/>
    <w:rsid w:val="002A310B"/>
    <w:rsid w:val="002A342D"/>
    <w:rsid w:val="002A3ABA"/>
    <w:rsid w:val="002A3E94"/>
    <w:rsid w:val="002A437A"/>
    <w:rsid w:val="002A4FAD"/>
    <w:rsid w:val="002A7376"/>
    <w:rsid w:val="002B3870"/>
    <w:rsid w:val="002B389C"/>
    <w:rsid w:val="002B3E1C"/>
    <w:rsid w:val="002B4A70"/>
    <w:rsid w:val="002B5ADC"/>
    <w:rsid w:val="002B5C5C"/>
    <w:rsid w:val="002B7726"/>
    <w:rsid w:val="002B77A8"/>
    <w:rsid w:val="002B7AF1"/>
    <w:rsid w:val="002C0457"/>
    <w:rsid w:val="002C0914"/>
    <w:rsid w:val="002C0A0B"/>
    <w:rsid w:val="002C170C"/>
    <w:rsid w:val="002C3467"/>
    <w:rsid w:val="002C4219"/>
    <w:rsid w:val="002C53E1"/>
    <w:rsid w:val="002C5B1F"/>
    <w:rsid w:val="002C5EA9"/>
    <w:rsid w:val="002C6BA2"/>
    <w:rsid w:val="002C6DDF"/>
    <w:rsid w:val="002C7E66"/>
    <w:rsid w:val="002D0B68"/>
    <w:rsid w:val="002D0C8C"/>
    <w:rsid w:val="002D0F69"/>
    <w:rsid w:val="002D2763"/>
    <w:rsid w:val="002D5245"/>
    <w:rsid w:val="002D5E59"/>
    <w:rsid w:val="002D6E22"/>
    <w:rsid w:val="002D74B8"/>
    <w:rsid w:val="002D7B19"/>
    <w:rsid w:val="002D7FD8"/>
    <w:rsid w:val="002E1FDE"/>
    <w:rsid w:val="002E30CD"/>
    <w:rsid w:val="002E44A0"/>
    <w:rsid w:val="002E45A5"/>
    <w:rsid w:val="002E61ED"/>
    <w:rsid w:val="002E783E"/>
    <w:rsid w:val="002F0DA4"/>
    <w:rsid w:val="002F1981"/>
    <w:rsid w:val="002F289C"/>
    <w:rsid w:val="002F357D"/>
    <w:rsid w:val="002F3613"/>
    <w:rsid w:val="002F5063"/>
    <w:rsid w:val="002F5C21"/>
    <w:rsid w:val="002F5C83"/>
    <w:rsid w:val="0030085F"/>
    <w:rsid w:val="00302749"/>
    <w:rsid w:val="00305034"/>
    <w:rsid w:val="00305A6B"/>
    <w:rsid w:val="0031364A"/>
    <w:rsid w:val="00315E05"/>
    <w:rsid w:val="00321D0E"/>
    <w:rsid w:val="00322CCB"/>
    <w:rsid w:val="00323529"/>
    <w:rsid w:val="00323910"/>
    <w:rsid w:val="00325AA5"/>
    <w:rsid w:val="00325BFE"/>
    <w:rsid w:val="00325C78"/>
    <w:rsid w:val="00325D29"/>
    <w:rsid w:val="00326224"/>
    <w:rsid w:val="00331D76"/>
    <w:rsid w:val="00332325"/>
    <w:rsid w:val="003326BB"/>
    <w:rsid w:val="00333C12"/>
    <w:rsid w:val="00336576"/>
    <w:rsid w:val="00336640"/>
    <w:rsid w:val="00337FCB"/>
    <w:rsid w:val="003404CD"/>
    <w:rsid w:val="0034050E"/>
    <w:rsid w:val="00340C99"/>
    <w:rsid w:val="00340E6D"/>
    <w:rsid w:val="00342925"/>
    <w:rsid w:val="00344C2C"/>
    <w:rsid w:val="00346913"/>
    <w:rsid w:val="0035018D"/>
    <w:rsid w:val="00350889"/>
    <w:rsid w:val="00350965"/>
    <w:rsid w:val="00353301"/>
    <w:rsid w:val="00353822"/>
    <w:rsid w:val="00353EE0"/>
    <w:rsid w:val="00356E10"/>
    <w:rsid w:val="00357F9B"/>
    <w:rsid w:val="00360B83"/>
    <w:rsid w:val="00360D8B"/>
    <w:rsid w:val="00361156"/>
    <w:rsid w:val="003616BD"/>
    <w:rsid w:val="00362471"/>
    <w:rsid w:val="003644B4"/>
    <w:rsid w:val="0036450E"/>
    <w:rsid w:val="00364D2E"/>
    <w:rsid w:val="003665B3"/>
    <w:rsid w:val="00370466"/>
    <w:rsid w:val="0037104E"/>
    <w:rsid w:val="00372F33"/>
    <w:rsid w:val="003747DE"/>
    <w:rsid w:val="00374FB8"/>
    <w:rsid w:val="00377BF3"/>
    <w:rsid w:val="003809CF"/>
    <w:rsid w:val="003820F5"/>
    <w:rsid w:val="00382E4C"/>
    <w:rsid w:val="00383FB7"/>
    <w:rsid w:val="00385276"/>
    <w:rsid w:val="00387FF9"/>
    <w:rsid w:val="0039056C"/>
    <w:rsid w:val="00391404"/>
    <w:rsid w:val="00392232"/>
    <w:rsid w:val="0039335E"/>
    <w:rsid w:val="003935E2"/>
    <w:rsid w:val="00393D42"/>
    <w:rsid w:val="00395432"/>
    <w:rsid w:val="00395B03"/>
    <w:rsid w:val="003A00ED"/>
    <w:rsid w:val="003A3696"/>
    <w:rsid w:val="003A3D52"/>
    <w:rsid w:val="003A44E2"/>
    <w:rsid w:val="003A4BB7"/>
    <w:rsid w:val="003A7A3E"/>
    <w:rsid w:val="003B1733"/>
    <w:rsid w:val="003B3FFC"/>
    <w:rsid w:val="003B56C9"/>
    <w:rsid w:val="003B5BE8"/>
    <w:rsid w:val="003B5F23"/>
    <w:rsid w:val="003B6C09"/>
    <w:rsid w:val="003C09A3"/>
    <w:rsid w:val="003C1C27"/>
    <w:rsid w:val="003C2AFA"/>
    <w:rsid w:val="003C3EAA"/>
    <w:rsid w:val="003C5618"/>
    <w:rsid w:val="003C5C76"/>
    <w:rsid w:val="003C6BD6"/>
    <w:rsid w:val="003D2161"/>
    <w:rsid w:val="003D5143"/>
    <w:rsid w:val="003D6554"/>
    <w:rsid w:val="003D69DE"/>
    <w:rsid w:val="003D6FC7"/>
    <w:rsid w:val="003D7BE3"/>
    <w:rsid w:val="003E0973"/>
    <w:rsid w:val="003E09AB"/>
    <w:rsid w:val="003E14C3"/>
    <w:rsid w:val="003E2D98"/>
    <w:rsid w:val="003E4243"/>
    <w:rsid w:val="003E47F8"/>
    <w:rsid w:val="003E52AC"/>
    <w:rsid w:val="003E6923"/>
    <w:rsid w:val="003E6973"/>
    <w:rsid w:val="003E6D51"/>
    <w:rsid w:val="003E7684"/>
    <w:rsid w:val="003E7930"/>
    <w:rsid w:val="003E7B1B"/>
    <w:rsid w:val="003F0668"/>
    <w:rsid w:val="003F0951"/>
    <w:rsid w:val="003F119A"/>
    <w:rsid w:val="003F1E91"/>
    <w:rsid w:val="003F47DA"/>
    <w:rsid w:val="003F5800"/>
    <w:rsid w:val="003F6661"/>
    <w:rsid w:val="003F7B0F"/>
    <w:rsid w:val="00400A4E"/>
    <w:rsid w:val="0040137B"/>
    <w:rsid w:val="00401681"/>
    <w:rsid w:val="004023C8"/>
    <w:rsid w:val="004023E4"/>
    <w:rsid w:val="004032F1"/>
    <w:rsid w:val="0040383C"/>
    <w:rsid w:val="00404C12"/>
    <w:rsid w:val="00405292"/>
    <w:rsid w:val="00406A31"/>
    <w:rsid w:val="00407184"/>
    <w:rsid w:val="00407B2D"/>
    <w:rsid w:val="00410924"/>
    <w:rsid w:val="004122AC"/>
    <w:rsid w:val="00412EFC"/>
    <w:rsid w:val="004133B1"/>
    <w:rsid w:val="00413FC0"/>
    <w:rsid w:val="00414036"/>
    <w:rsid w:val="004155B8"/>
    <w:rsid w:val="00416071"/>
    <w:rsid w:val="004167C4"/>
    <w:rsid w:val="00420B01"/>
    <w:rsid w:val="00421962"/>
    <w:rsid w:val="004220BE"/>
    <w:rsid w:val="00423375"/>
    <w:rsid w:val="0042536D"/>
    <w:rsid w:val="00425747"/>
    <w:rsid w:val="004262CD"/>
    <w:rsid w:val="00427F83"/>
    <w:rsid w:val="00430B65"/>
    <w:rsid w:val="00430FC2"/>
    <w:rsid w:val="004313AD"/>
    <w:rsid w:val="0043184E"/>
    <w:rsid w:val="004328D9"/>
    <w:rsid w:val="00437362"/>
    <w:rsid w:val="0044397D"/>
    <w:rsid w:val="00443C59"/>
    <w:rsid w:val="00446997"/>
    <w:rsid w:val="00447020"/>
    <w:rsid w:val="00447448"/>
    <w:rsid w:val="004514AE"/>
    <w:rsid w:val="0045164A"/>
    <w:rsid w:val="00453679"/>
    <w:rsid w:val="00455A99"/>
    <w:rsid w:val="00462DA2"/>
    <w:rsid w:val="004634DD"/>
    <w:rsid w:val="00463512"/>
    <w:rsid w:val="00464A76"/>
    <w:rsid w:val="004658AF"/>
    <w:rsid w:val="004658E4"/>
    <w:rsid w:val="004666C3"/>
    <w:rsid w:val="00466F31"/>
    <w:rsid w:val="00471A6C"/>
    <w:rsid w:val="00471CC3"/>
    <w:rsid w:val="004723CE"/>
    <w:rsid w:val="004726A1"/>
    <w:rsid w:val="00472E64"/>
    <w:rsid w:val="004748F3"/>
    <w:rsid w:val="00474D17"/>
    <w:rsid w:val="00475810"/>
    <w:rsid w:val="0047582E"/>
    <w:rsid w:val="00476C62"/>
    <w:rsid w:val="004771DD"/>
    <w:rsid w:val="004773D9"/>
    <w:rsid w:val="0047775E"/>
    <w:rsid w:val="00480F9A"/>
    <w:rsid w:val="004818A3"/>
    <w:rsid w:val="00481A2C"/>
    <w:rsid w:val="004820B6"/>
    <w:rsid w:val="00482F6E"/>
    <w:rsid w:val="00484260"/>
    <w:rsid w:val="00485467"/>
    <w:rsid w:val="0048625B"/>
    <w:rsid w:val="0048643E"/>
    <w:rsid w:val="00490A60"/>
    <w:rsid w:val="00495FC4"/>
    <w:rsid w:val="00496C86"/>
    <w:rsid w:val="004A2E2E"/>
    <w:rsid w:val="004A3186"/>
    <w:rsid w:val="004A3B1E"/>
    <w:rsid w:val="004A4047"/>
    <w:rsid w:val="004A5272"/>
    <w:rsid w:val="004A53D5"/>
    <w:rsid w:val="004A692B"/>
    <w:rsid w:val="004B1A54"/>
    <w:rsid w:val="004B3706"/>
    <w:rsid w:val="004B3932"/>
    <w:rsid w:val="004B3D67"/>
    <w:rsid w:val="004B3DD9"/>
    <w:rsid w:val="004B4207"/>
    <w:rsid w:val="004B4C53"/>
    <w:rsid w:val="004B4CD7"/>
    <w:rsid w:val="004C035E"/>
    <w:rsid w:val="004C0E29"/>
    <w:rsid w:val="004C34AF"/>
    <w:rsid w:val="004C46B1"/>
    <w:rsid w:val="004C76BD"/>
    <w:rsid w:val="004D16BC"/>
    <w:rsid w:val="004D1AD9"/>
    <w:rsid w:val="004D2AF3"/>
    <w:rsid w:val="004D36E7"/>
    <w:rsid w:val="004D370C"/>
    <w:rsid w:val="004D5117"/>
    <w:rsid w:val="004D5722"/>
    <w:rsid w:val="004D5E8B"/>
    <w:rsid w:val="004D74E8"/>
    <w:rsid w:val="004D7BF5"/>
    <w:rsid w:val="004E05B2"/>
    <w:rsid w:val="004E0B31"/>
    <w:rsid w:val="004E18F3"/>
    <w:rsid w:val="004E199F"/>
    <w:rsid w:val="004E208C"/>
    <w:rsid w:val="004E3294"/>
    <w:rsid w:val="004E4598"/>
    <w:rsid w:val="004E4DA7"/>
    <w:rsid w:val="004E4F6C"/>
    <w:rsid w:val="004E4FCD"/>
    <w:rsid w:val="004E5A90"/>
    <w:rsid w:val="004E716B"/>
    <w:rsid w:val="004F506A"/>
    <w:rsid w:val="004F5AA0"/>
    <w:rsid w:val="004F62DB"/>
    <w:rsid w:val="004F73A5"/>
    <w:rsid w:val="005005B5"/>
    <w:rsid w:val="005005BC"/>
    <w:rsid w:val="0050064D"/>
    <w:rsid w:val="0050092C"/>
    <w:rsid w:val="005012BB"/>
    <w:rsid w:val="005015E2"/>
    <w:rsid w:val="00501664"/>
    <w:rsid w:val="0050395C"/>
    <w:rsid w:val="00503CAD"/>
    <w:rsid w:val="00504D8F"/>
    <w:rsid w:val="00510A6C"/>
    <w:rsid w:val="005123EF"/>
    <w:rsid w:val="00512CB2"/>
    <w:rsid w:val="005135BC"/>
    <w:rsid w:val="00514233"/>
    <w:rsid w:val="0051676C"/>
    <w:rsid w:val="00521C34"/>
    <w:rsid w:val="00524733"/>
    <w:rsid w:val="00525140"/>
    <w:rsid w:val="005272BD"/>
    <w:rsid w:val="00527669"/>
    <w:rsid w:val="00530E0C"/>
    <w:rsid w:val="00531AFB"/>
    <w:rsid w:val="00532F2A"/>
    <w:rsid w:val="00533695"/>
    <w:rsid w:val="0053416A"/>
    <w:rsid w:val="0053486D"/>
    <w:rsid w:val="005360BE"/>
    <w:rsid w:val="005367F8"/>
    <w:rsid w:val="00536871"/>
    <w:rsid w:val="00537468"/>
    <w:rsid w:val="00540621"/>
    <w:rsid w:val="00540666"/>
    <w:rsid w:val="005411C1"/>
    <w:rsid w:val="00541633"/>
    <w:rsid w:val="0054358D"/>
    <w:rsid w:val="00543861"/>
    <w:rsid w:val="00543A43"/>
    <w:rsid w:val="00544715"/>
    <w:rsid w:val="00544C34"/>
    <w:rsid w:val="005467DA"/>
    <w:rsid w:val="00550469"/>
    <w:rsid w:val="005506C3"/>
    <w:rsid w:val="00551591"/>
    <w:rsid w:val="0055310A"/>
    <w:rsid w:val="00553CA1"/>
    <w:rsid w:val="0055478B"/>
    <w:rsid w:val="00555C5E"/>
    <w:rsid w:val="00557BD7"/>
    <w:rsid w:val="005611B3"/>
    <w:rsid w:val="00562A60"/>
    <w:rsid w:val="00563504"/>
    <w:rsid w:val="00566C6A"/>
    <w:rsid w:val="00570042"/>
    <w:rsid w:val="00571190"/>
    <w:rsid w:val="00571600"/>
    <w:rsid w:val="0057447D"/>
    <w:rsid w:val="00574FEC"/>
    <w:rsid w:val="0057561B"/>
    <w:rsid w:val="0057619D"/>
    <w:rsid w:val="00576352"/>
    <w:rsid w:val="00576401"/>
    <w:rsid w:val="00576817"/>
    <w:rsid w:val="005806A9"/>
    <w:rsid w:val="005809B2"/>
    <w:rsid w:val="00580B88"/>
    <w:rsid w:val="005815C4"/>
    <w:rsid w:val="00581993"/>
    <w:rsid w:val="005825CD"/>
    <w:rsid w:val="00583AD4"/>
    <w:rsid w:val="005873D7"/>
    <w:rsid w:val="0058776B"/>
    <w:rsid w:val="00587A11"/>
    <w:rsid w:val="00591C04"/>
    <w:rsid w:val="0059236E"/>
    <w:rsid w:val="005939A6"/>
    <w:rsid w:val="00594831"/>
    <w:rsid w:val="005950F7"/>
    <w:rsid w:val="00595921"/>
    <w:rsid w:val="00595CBE"/>
    <w:rsid w:val="0059687E"/>
    <w:rsid w:val="0059696B"/>
    <w:rsid w:val="00596F59"/>
    <w:rsid w:val="00597498"/>
    <w:rsid w:val="00597B39"/>
    <w:rsid w:val="005A00BC"/>
    <w:rsid w:val="005A1644"/>
    <w:rsid w:val="005A3C4A"/>
    <w:rsid w:val="005A3D5A"/>
    <w:rsid w:val="005A41A1"/>
    <w:rsid w:val="005A4241"/>
    <w:rsid w:val="005A457C"/>
    <w:rsid w:val="005A463F"/>
    <w:rsid w:val="005A4813"/>
    <w:rsid w:val="005A49E1"/>
    <w:rsid w:val="005A5A0C"/>
    <w:rsid w:val="005A63D7"/>
    <w:rsid w:val="005A63FE"/>
    <w:rsid w:val="005A7185"/>
    <w:rsid w:val="005A7D77"/>
    <w:rsid w:val="005B367A"/>
    <w:rsid w:val="005B4152"/>
    <w:rsid w:val="005B4482"/>
    <w:rsid w:val="005B49B2"/>
    <w:rsid w:val="005B5218"/>
    <w:rsid w:val="005B6661"/>
    <w:rsid w:val="005B6851"/>
    <w:rsid w:val="005B76C4"/>
    <w:rsid w:val="005C08B9"/>
    <w:rsid w:val="005C0C4B"/>
    <w:rsid w:val="005C2B0E"/>
    <w:rsid w:val="005C4632"/>
    <w:rsid w:val="005C4BED"/>
    <w:rsid w:val="005C75CE"/>
    <w:rsid w:val="005D0D1A"/>
    <w:rsid w:val="005D1D5C"/>
    <w:rsid w:val="005D21CC"/>
    <w:rsid w:val="005D25B3"/>
    <w:rsid w:val="005D29B0"/>
    <w:rsid w:val="005D42A5"/>
    <w:rsid w:val="005D462C"/>
    <w:rsid w:val="005D47D0"/>
    <w:rsid w:val="005D50BC"/>
    <w:rsid w:val="005D595D"/>
    <w:rsid w:val="005D5F62"/>
    <w:rsid w:val="005D79EB"/>
    <w:rsid w:val="005E0D79"/>
    <w:rsid w:val="005E13F9"/>
    <w:rsid w:val="005E19C0"/>
    <w:rsid w:val="005E5765"/>
    <w:rsid w:val="005E57BA"/>
    <w:rsid w:val="005E6AB1"/>
    <w:rsid w:val="005E710D"/>
    <w:rsid w:val="005F0424"/>
    <w:rsid w:val="005F042C"/>
    <w:rsid w:val="005F2E40"/>
    <w:rsid w:val="005F307C"/>
    <w:rsid w:val="005F459D"/>
    <w:rsid w:val="005F56CC"/>
    <w:rsid w:val="005F59DF"/>
    <w:rsid w:val="005F6C50"/>
    <w:rsid w:val="005F715B"/>
    <w:rsid w:val="005F7BB9"/>
    <w:rsid w:val="005F7DA0"/>
    <w:rsid w:val="005F7F8E"/>
    <w:rsid w:val="00601465"/>
    <w:rsid w:val="006029AE"/>
    <w:rsid w:val="00603030"/>
    <w:rsid w:val="00606653"/>
    <w:rsid w:val="00611F37"/>
    <w:rsid w:val="0061223F"/>
    <w:rsid w:val="00612EA0"/>
    <w:rsid w:val="00614C56"/>
    <w:rsid w:val="0061765A"/>
    <w:rsid w:val="006206A7"/>
    <w:rsid w:val="006209BA"/>
    <w:rsid w:val="00621458"/>
    <w:rsid w:val="00623175"/>
    <w:rsid w:val="00631863"/>
    <w:rsid w:val="00632824"/>
    <w:rsid w:val="006335B5"/>
    <w:rsid w:val="006377C7"/>
    <w:rsid w:val="006403B6"/>
    <w:rsid w:val="00640485"/>
    <w:rsid w:val="006414AD"/>
    <w:rsid w:val="006427A6"/>
    <w:rsid w:val="00643A11"/>
    <w:rsid w:val="0064574C"/>
    <w:rsid w:val="00645ED1"/>
    <w:rsid w:val="0064659F"/>
    <w:rsid w:val="006479B3"/>
    <w:rsid w:val="00650ADD"/>
    <w:rsid w:val="00651000"/>
    <w:rsid w:val="00653E82"/>
    <w:rsid w:val="00654B7A"/>
    <w:rsid w:val="00654F5A"/>
    <w:rsid w:val="006617DF"/>
    <w:rsid w:val="00661BFE"/>
    <w:rsid w:val="00662D48"/>
    <w:rsid w:val="006632AE"/>
    <w:rsid w:val="0066556A"/>
    <w:rsid w:val="00666D53"/>
    <w:rsid w:val="00666DF5"/>
    <w:rsid w:val="0066748C"/>
    <w:rsid w:val="006675D6"/>
    <w:rsid w:val="0067024B"/>
    <w:rsid w:val="00670376"/>
    <w:rsid w:val="0067104F"/>
    <w:rsid w:val="006717B8"/>
    <w:rsid w:val="0067260E"/>
    <w:rsid w:val="00672888"/>
    <w:rsid w:val="00674955"/>
    <w:rsid w:val="00674A2C"/>
    <w:rsid w:val="006767F8"/>
    <w:rsid w:val="0068065A"/>
    <w:rsid w:val="00680A1E"/>
    <w:rsid w:val="00681335"/>
    <w:rsid w:val="00681CA8"/>
    <w:rsid w:val="00682797"/>
    <w:rsid w:val="006828F0"/>
    <w:rsid w:val="00682E2D"/>
    <w:rsid w:val="006834DC"/>
    <w:rsid w:val="00683CA6"/>
    <w:rsid w:val="00684794"/>
    <w:rsid w:val="00687BFC"/>
    <w:rsid w:val="00687C71"/>
    <w:rsid w:val="00687FB8"/>
    <w:rsid w:val="00690253"/>
    <w:rsid w:val="006908A4"/>
    <w:rsid w:val="00690B1E"/>
    <w:rsid w:val="0069210F"/>
    <w:rsid w:val="00692B98"/>
    <w:rsid w:val="006940AB"/>
    <w:rsid w:val="0069483F"/>
    <w:rsid w:val="0069642E"/>
    <w:rsid w:val="006A120F"/>
    <w:rsid w:val="006A1D9F"/>
    <w:rsid w:val="006A2D15"/>
    <w:rsid w:val="006A6631"/>
    <w:rsid w:val="006A7180"/>
    <w:rsid w:val="006A7A40"/>
    <w:rsid w:val="006A7ADC"/>
    <w:rsid w:val="006B190B"/>
    <w:rsid w:val="006B31B4"/>
    <w:rsid w:val="006B3582"/>
    <w:rsid w:val="006B4219"/>
    <w:rsid w:val="006B4FCA"/>
    <w:rsid w:val="006B532D"/>
    <w:rsid w:val="006B56AA"/>
    <w:rsid w:val="006B5B47"/>
    <w:rsid w:val="006B64EC"/>
    <w:rsid w:val="006B6DC4"/>
    <w:rsid w:val="006B77AF"/>
    <w:rsid w:val="006C054A"/>
    <w:rsid w:val="006C077A"/>
    <w:rsid w:val="006C65F9"/>
    <w:rsid w:val="006C71B4"/>
    <w:rsid w:val="006D1E51"/>
    <w:rsid w:val="006D1EAD"/>
    <w:rsid w:val="006D2D7C"/>
    <w:rsid w:val="006D4DC5"/>
    <w:rsid w:val="006D54B7"/>
    <w:rsid w:val="006D702A"/>
    <w:rsid w:val="006E08F4"/>
    <w:rsid w:val="006E137F"/>
    <w:rsid w:val="006E1F05"/>
    <w:rsid w:val="006E1F65"/>
    <w:rsid w:val="006E2519"/>
    <w:rsid w:val="006E2D45"/>
    <w:rsid w:val="006E3299"/>
    <w:rsid w:val="006E466E"/>
    <w:rsid w:val="006E4E19"/>
    <w:rsid w:val="006E58ED"/>
    <w:rsid w:val="006E6CA8"/>
    <w:rsid w:val="006E79B8"/>
    <w:rsid w:val="006F09A6"/>
    <w:rsid w:val="006F354C"/>
    <w:rsid w:val="006F41EC"/>
    <w:rsid w:val="006F50BA"/>
    <w:rsid w:val="006F61E4"/>
    <w:rsid w:val="006F67E1"/>
    <w:rsid w:val="0070146C"/>
    <w:rsid w:val="00701C7E"/>
    <w:rsid w:val="0070203E"/>
    <w:rsid w:val="00703A74"/>
    <w:rsid w:val="00703FD9"/>
    <w:rsid w:val="007051DD"/>
    <w:rsid w:val="007056CA"/>
    <w:rsid w:val="0070608C"/>
    <w:rsid w:val="00706661"/>
    <w:rsid w:val="00706905"/>
    <w:rsid w:val="007070A1"/>
    <w:rsid w:val="00707212"/>
    <w:rsid w:val="0070731F"/>
    <w:rsid w:val="00710FE7"/>
    <w:rsid w:val="0071213C"/>
    <w:rsid w:val="0071368A"/>
    <w:rsid w:val="00713D7B"/>
    <w:rsid w:val="00715B22"/>
    <w:rsid w:val="00717171"/>
    <w:rsid w:val="007171FA"/>
    <w:rsid w:val="00717723"/>
    <w:rsid w:val="007222BD"/>
    <w:rsid w:val="00723616"/>
    <w:rsid w:val="00723C4A"/>
    <w:rsid w:val="00724938"/>
    <w:rsid w:val="007270F2"/>
    <w:rsid w:val="0072720C"/>
    <w:rsid w:val="00727A09"/>
    <w:rsid w:val="00730333"/>
    <w:rsid w:val="00731639"/>
    <w:rsid w:val="00733A88"/>
    <w:rsid w:val="00733AEB"/>
    <w:rsid w:val="00733F3F"/>
    <w:rsid w:val="0073427C"/>
    <w:rsid w:val="00735FC7"/>
    <w:rsid w:val="00736001"/>
    <w:rsid w:val="00740396"/>
    <w:rsid w:val="00740696"/>
    <w:rsid w:val="00742F0A"/>
    <w:rsid w:val="00743A51"/>
    <w:rsid w:val="00743B4C"/>
    <w:rsid w:val="0074468B"/>
    <w:rsid w:val="007447FC"/>
    <w:rsid w:val="00744A6F"/>
    <w:rsid w:val="00744EC0"/>
    <w:rsid w:val="00745FA7"/>
    <w:rsid w:val="0074677E"/>
    <w:rsid w:val="00746C3E"/>
    <w:rsid w:val="00747350"/>
    <w:rsid w:val="007473AD"/>
    <w:rsid w:val="00751363"/>
    <w:rsid w:val="00754E30"/>
    <w:rsid w:val="0075521A"/>
    <w:rsid w:val="00755A54"/>
    <w:rsid w:val="0075613F"/>
    <w:rsid w:val="00756AE0"/>
    <w:rsid w:val="00757F66"/>
    <w:rsid w:val="007604CA"/>
    <w:rsid w:val="0076103B"/>
    <w:rsid w:val="00761379"/>
    <w:rsid w:val="00761EDF"/>
    <w:rsid w:val="007630C9"/>
    <w:rsid w:val="007646DF"/>
    <w:rsid w:val="00764B27"/>
    <w:rsid w:val="00764F6B"/>
    <w:rsid w:val="0077015E"/>
    <w:rsid w:val="007705AB"/>
    <w:rsid w:val="00770985"/>
    <w:rsid w:val="007711F1"/>
    <w:rsid w:val="00771898"/>
    <w:rsid w:val="007736D5"/>
    <w:rsid w:val="00774459"/>
    <w:rsid w:val="00774C8C"/>
    <w:rsid w:val="00774F2E"/>
    <w:rsid w:val="007756AB"/>
    <w:rsid w:val="00776AD3"/>
    <w:rsid w:val="00776EBD"/>
    <w:rsid w:val="00776F6F"/>
    <w:rsid w:val="007772F7"/>
    <w:rsid w:val="00777992"/>
    <w:rsid w:val="00783FB9"/>
    <w:rsid w:val="00784972"/>
    <w:rsid w:val="00785311"/>
    <w:rsid w:val="00786028"/>
    <w:rsid w:val="0078745F"/>
    <w:rsid w:val="00787D39"/>
    <w:rsid w:val="00790434"/>
    <w:rsid w:val="007947CE"/>
    <w:rsid w:val="00795F48"/>
    <w:rsid w:val="007A02B5"/>
    <w:rsid w:val="007A05B9"/>
    <w:rsid w:val="007A0954"/>
    <w:rsid w:val="007A0F8E"/>
    <w:rsid w:val="007A1473"/>
    <w:rsid w:val="007A2C1D"/>
    <w:rsid w:val="007A3198"/>
    <w:rsid w:val="007A348F"/>
    <w:rsid w:val="007A36C6"/>
    <w:rsid w:val="007A668F"/>
    <w:rsid w:val="007B108E"/>
    <w:rsid w:val="007B2AA0"/>
    <w:rsid w:val="007B2BBB"/>
    <w:rsid w:val="007B2D69"/>
    <w:rsid w:val="007B3D62"/>
    <w:rsid w:val="007B3D8A"/>
    <w:rsid w:val="007B55DD"/>
    <w:rsid w:val="007B7717"/>
    <w:rsid w:val="007C088A"/>
    <w:rsid w:val="007C10CB"/>
    <w:rsid w:val="007C156B"/>
    <w:rsid w:val="007C1BF5"/>
    <w:rsid w:val="007C469C"/>
    <w:rsid w:val="007C5006"/>
    <w:rsid w:val="007C594E"/>
    <w:rsid w:val="007D0608"/>
    <w:rsid w:val="007D0C9D"/>
    <w:rsid w:val="007D2E40"/>
    <w:rsid w:val="007D30DA"/>
    <w:rsid w:val="007D34AA"/>
    <w:rsid w:val="007D3DF0"/>
    <w:rsid w:val="007D4BA3"/>
    <w:rsid w:val="007E05B9"/>
    <w:rsid w:val="007E204E"/>
    <w:rsid w:val="007E3118"/>
    <w:rsid w:val="007E39B2"/>
    <w:rsid w:val="007E502F"/>
    <w:rsid w:val="007E702A"/>
    <w:rsid w:val="007F094B"/>
    <w:rsid w:val="007F34A8"/>
    <w:rsid w:val="007F4EA1"/>
    <w:rsid w:val="007F541F"/>
    <w:rsid w:val="007F6548"/>
    <w:rsid w:val="007F6EA0"/>
    <w:rsid w:val="0080013B"/>
    <w:rsid w:val="008002FF"/>
    <w:rsid w:val="008013CC"/>
    <w:rsid w:val="00803E2F"/>
    <w:rsid w:val="00803ECE"/>
    <w:rsid w:val="008054DD"/>
    <w:rsid w:val="00805B87"/>
    <w:rsid w:val="00805D15"/>
    <w:rsid w:val="00807329"/>
    <w:rsid w:val="00807F7B"/>
    <w:rsid w:val="00811921"/>
    <w:rsid w:val="00812FB4"/>
    <w:rsid w:val="00820315"/>
    <w:rsid w:val="00820394"/>
    <w:rsid w:val="0082128E"/>
    <w:rsid w:val="00822A37"/>
    <w:rsid w:val="00823AE5"/>
    <w:rsid w:val="00825E28"/>
    <w:rsid w:val="00826278"/>
    <w:rsid w:val="00826B35"/>
    <w:rsid w:val="00830A60"/>
    <w:rsid w:val="008333D5"/>
    <w:rsid w:val="00834BEB"/>
    <w:rsid w:val="008351BE"/>
    <w:rsid w:val="00835F15"/>
    <w:rsid w:val="0084049E"/>
    <w:rsid w:val="00840DA6"/>
    <w:rsid w:val="00840DDD"/>
    <w:rsid w:val="00841315"/>
    <w:rsid w:val="00843485"/>
    <w:rsid w:val="00843EE7"/>
    <w:rsid w:val="00844114"/>
    <w:rsid w:val="0084432B"/>
    <w:rsid w:val="00844635"/>
    <w:rsid w:val="00844871"/>
    <w:rsid w:val="00845F74"/>
    <w:rsid w:val="00846A72"/>
    <w:rsid w:val="008523F9"/>
    <w:rsid w:val="00853989"/>
    <w:rsid w:val="00853EA3"/>
    <w:rsid w:val="008561A2"/>
    <w:rsid w:val="00856940"/>
    <w:rsid w:val="00857525"/>
    <w:rsid w:val="008578CD"/>
    <w:rsid w:val="00860F3B"/>
    <w:rsid w:val="00863E13"/>
    <w:rsid w:val="008662F9"/>
    <w:rsid w:val="00866A3B"/>
    <w:rsid w:val="0087050C"/>
    <w:rsid w:val="00871749"/>
    <w:rsid w:val="00873A6F"/>
    <w:rsid w:val="00877518"/>
    <w:rsid w:val="0088115E"/>
    <w:rsid w:val="00881235"/>
    <w:rsid w:val="008820E1"/>
    <w:rsid w:val="008844B4"/>
    <w:rsid w:val="00884DFE"/>
    <w:rsid w:val="008850E2"/>
    <w:rsid w:val="00892F46"/>
    <w:rsid w:val="008932FA"/>
    <w:rsid w:val="00893753"/>
    <w:rsid w:val="008955A0"/>
    <w:rsid w:val="00895C62"/>
    <w:rsid w:val="00895EBE"/>
    <w:rsid w:val="00896FE8"/>
    <w:rsid w:val="00897EF2"/>
    <w:rsid w:val="008A1388"/>
    <w:rsid w:val="008A1AEA"/>
    <w:rsid w:val="008A387A"/>
    <w:rsid w:val="008A4514"/>
    <w:rsid w:val="008A45BE"/>
    <w:rsid w:val="008A48E1"/>
    <w:rsid w:val="008A4CE8"/>
    <w:rsid w:val="008A64F4"/>
    <w:rsid w:val="008A6C7D"/>
    <w:rsid w:val="008A7047"/>
    <w:rsid w:val="008A76BE"/>
    <w:rsid w:val="008A7AF4"/>
    <w:rsid w:val="008B0374"/>
    <w:rsid w:val="008B073D"/>
    <w:rsid w:val="008B1626"/>
    <w:rsid w:val="008B1F8F"/>
    <w:rsid w:val="008B2519"/>
    <w:rsid w:val="008B3EB9"/>
    <w:rsid w:val="008B4F8A"/>
    <w:rsid w:val="008B4FAA"/>
    <w:rsid w:val="008B6018"/>
    <w:rsid w:val="008B640A"/>
    <w:rsid w:val="008B79F6"/>
    <w:rsid w:val="008C269C"/>
    <w:rsid w:val="008C356B"/>
    <w:rsid w:val="008C7C33"/>
    <w:rsid w:val="008C7FD1"/>
    <w:rsid w:val="008D078A"/>
    <w:rsid w:val="008D0974"/>
    <w:rsid w:val="008D1A18"/>
    <w:rsid w:val="008D26B3"/>
    <w:rsid w:val="008D3471"/>
    <w:rsid w:val="008D5306"/>
    <w:rsid w:val="008D5D4E"/>
    <w:rsid w:val="008D6F9F"/>
    <w:rsid w:val="008D6FE1"/>
    <w:rsid w:val="008D701D"/>
    <w:rsid w:val="008D73A0"/>
    <w:rsid w:val="008D7F3D"/>
    <w:rsid w:val="008E37DD"/>
    <w:rsid w:val="008E5961"/>
    <w:rsid w:val="008E723D"/>
    <w:rsid w:val="008E7851"/>
    <w:rsid w:val="008F0BB4"/>
    <w:rsid w:val="008F2ED2"/>
    <w:rsid w:val="008F2F2E"/>
    <w:rsid w:val="008F36C6"/>
    <w:rsid w:val="008F3F8B"/>
    <w:rsid w:val="008F491A"/>
    <w:rsid w:val="008F650A"/>
    <w:rsid w:val="008F75EC"/>
    <w:rsid w:val="00900057"/>
    <w:rsid w:val="009000A5"/>
    <w:rsid w:val="00900440"/>
    <w:rsid w:val="009006DE"/>
    <w:rsid w:val="00901949"/>
    <w:rsid w:val="00901970"/>
    <w:rsid w:val="00902C4B"/>
    <w:rsid w:val="00904FBA"/>
    <w:rsid w:val="0090688E"/>
    <w:rsid w:val="00907419"/>
    <w:rsid w:val="00911EFC"/>
    <w:rsid w:val="00913CF0"/>
    <w:rsid w:val="00913DF5"/>
    <w:rsid w:val="009174EA"/>
    <w:rsid w:val="00917CE1"/>
    <w:rsid w:val="00920482"/>
    <w:rsid w:val="00922E5D"/>
    <w:rsid w:val="00924AA8"/>
    <w:rsid w:val="00924CC9"/>
    <w:rsid w:val="00925E18"/>
    <w:rsid w:val="00926738"/>
    <w:rsid w:val="00927D1E"/>
    <w:rsid w:val="00931726"/>
    <w:rsid w:val="00931902"/>
    <w:rsid w:val="0093311A"/>
    <w:rsid w:val="00934CD3"/>
    <w:rsid w:val="00937AB4"/>
    <w:rsid w:val="00937E7B"/>
    <w:rsid w:val="00940092"/>
    <w:rsid w:val="00941B6E"/>
    <w:rsid w:val="00942839"/>
    <w:rsid w:val="0094400E"/>
    <w:rsid w:val="00944AD4"/>
    <w:rsid w:val="00947520"/>
    <w:rsid w:val="00950A40"/>
    <w:rsid w:val="00950B06"/>
    <w:rsid w:val="00950C1D"/>
    <w:rsid w:val="00952267"/>
    <w:rsid w:val="009553F4"/>
    <w:rsid w:val="00955D95"/>
    <w:rsid w:val="00955F71"/>
    <w:rsid w:val="0095776C"/>
    <w:rsid w:val="00963391"/>
    <w:rsid w:val="00963616"/>
    <w:rsid w:val="00963BE9"/>
    <w:rsid w:val="00965D98"/>
    <w:rsid w:val="00966811"/>
    <w:rsid w:val="00966A92"/>
    <w:rsid w:val="009670BF"/>
    <w:rsid w:val="00967459"/>
    <w:rsid w:val="00970DFD"/>
    <w:rsid w:val="00971B15"/>
    <w:rsid w:val="0097327F"/>
    <w:rsid w:val="00973ED7"/>
    <w:rsid w:val="009753DC"/>
    <w:rsid w:val="00975DF5"/>
    <w:rsid w:val="00975FF7"/>
    <w:rsid w:val="00981E1E"/>
    <w:rsid w:val="0098229F"/>
    <w:rsid w:val="009838D2"/>
    <w:rsid w:val="009864F7"/>
    <w:rsid w:val="00986F29"/>
    <w:rsid w:val="00987984"/>
    <w:rsid w:val="00992D77"/>
    <w:rsid w:val="009937A3"/>
    <w:rsid w:val="009A0093"/>
    <w:rsid w:val="009A23E9"/>
    <w:rsid w:val="009A2BAC"/>
    <w:rsid w:val="009A3BAB"/>
    <w:rsid w:val="009A3E5A"/>
    <w:rsid w:val="009A3E72"/>
    <w:rsid w:val="009A4779"/>
    <w:rsid w:val="009B02B0"/>
    <w:rsid w:val="009B0433"/>
    <w:rsid w:val="009B0D2D"/>
    <w:rsid w:val="009B31F7"/>
    <w:rsid w:val="009B43E6"/>
    <w:rsid w:val="009B4BDC"/>
    <w:rsid w:val="009B64FA"/>
    <w:rsid w:val="009B6B3E"/>
    <w:rsid w:val="009B6F17"/>
    <w:rsid w:val="009C03EB"/>
    <w:rsid w:val="009C1618"/>
    <w:rsid w:val="009C20C2"/>
    <w:rsid w:val="009C3474"/>
    <w:rsid w:val="009C555B"/>
    <w:rsid w:val="009C7656"/>
    <w:rsid w:val="009D0F33"/>
    <w:rsid w:val="009D428B"/>
    <w:rsid w:val="009D51D9"/>
    <w:rsid w:val="009D623D"/>
    <w:rsid w:val="009D6735"/>
    <w:rsid w:val="009D6AE9"/>
    <w:rsid w:val="009D6D92"/>
    <w:rsid w:val="009D7BD9"/>
    <w:rsid w:val="009E1338"/>
    <w:rsid w:val="009E2C49"/>
    <w:rsid w:val="009E4A36"/>
    <w:rsid w:val="009E4B0A"/>
    <w:rsid w:val="009E5DF5"/>
    <w:rsid w:val="009E5F92"/>
    <w:rsid w:val="009E62A0"/>
    <w:rsid w:val="009E7E3D"/>
    <w:rsid w:val="009F0683"/>
    <w:rsid w:val="009F09D8"/>
    <w:rsid w:val="009F197F"/>
    <w:rsid w:val="009F377D"/>
    <w:rsid w:val="009F4D75"/>
    <w:rsid w:val="009F5167"/>
    <w:rsid w:val="009F5337"/>
    <w:rsid w:val="009F539B"/>
    <w:rsid w:val="009F563E"/>
    <w:rsid w:val="00A0032B"/>
    <w:rsid w:val="00A005D2"/>
    <w:rsid w:val="00A00A3E"/>
    <w:rsid w:val="00A01874"/>
    <w:rsid w:val="00A02ABE"/>
    <w:rsid w:val="00A06548"/>
    <w:rsid w:val="00A068AB"/>
    <w:rsid w:val="00A06ABB"/>
    <w:rsid w:val="00A07A7C"/>
    <w:rsid w:val="00A102F0"/>
    <w:rsid w:val="00A10B35"/>
    <w:rsid w:val="00A1268A"/>
    <w:rsid w:val="00A132B5"/>
    <w:rsid w:val="00A13728"/>
    <w:rsid w:val="00A13EA0"/>
    <w:rsid w:val="00A144AE"/>
    <w:rsid w:val="00A158C7"/>
    <w:rsid w:val="00A15F0D"/>
    <w:rsid w:val="00A16AA7"/>
    <w:rsid w:val="00A17288"/>
    <w:rsid w:val="00A17620"/>
    <w:rsid w:val="00A23737"/>
    <w:rsid w:val="00A24024"/>
    <w:rsid w:val="00A2447C"/>
    <w:rsid w:val="00A26160"/>
    <w:rsid w:val="00A26293"/>
    <w:rsid w:val="00A27DE2"/>
    <w:rsid w:val="00A3138F"/>
    <w:rsid w:val="00A31DA3"/>
    <w:rsid w:val="00A339E2"/>
    <w:rsid w:val="00A33D53"/>
    <w:rsid w:val="00A34710"/>
    <w:rsid w:val="00A353B5"/>
    <w:rsid w:val="00A354CA"/>
    <w:rsid w:val="00A35BE5"/>
    <w:rsid w:val="00A36361"/>
    <w:rsid w:val="00A37AB9"/>
    <w:rsid w:val="00A37CC5"/>
    <w:rsid w:val="00A405D2"/>
    <w:rsid w:val="00A40CF5"/>
    <w:rsid w:val="00A4381B"/>
    <w:rsid w:val="00A44235"/>
    <w:rsid w:val="00A4569D"/>
    <w:rsid w:val="00A462E1"/>
    <w:rsid w:val="00A5028F"/>
    <w:rsid w:val="00A5071D"/>
    <w:rsid w:val="00A50A73"/>
    <w:rsid w:val="00A51D81"/>
    <w:rsid w:val="00A51DB0"/>
    <w:rsid w:val="00A5366A"/>
    <w:rsid w:val="00A53837"/>
    <w:rsid w:val="00A53BFE"/>
    <w:rsid w:val="00A54331"/>
    <w:rsid w:val="00A552BD"/>
    <w:rsid w:val="00A5632E"/>
    <w:rsid w:val="00A56370"/>
    <w:rsid w:val="00A56618"/>
    <w:rsid w:val="00A57DFB"/>
    <w:rsid w:val="00A60793"/>
    <w:rsid w:val="00A60C3B"/>
    <w:rsid w:val="00A61F19"/>
    <w:rsid w:val="00A624A2"/>
    <w:rsid w:val="00A62EBE"/>
    <w:rsid w:val="00A64B22"/>
    <w:rsid w:val="00A66672"/>
    <w:rsid w:val="00A704EB"/>
    <w:rsid w:val="00A7068C"/>
    <w:rsid w:val="00A73CC1"/>
    <w:rsid w:val="00A74BF3"/>
    <w:rsid w:val="00A755C1"/>
    <w:rsid w:val="00A77C3E"/>
    <w:rsid w:val="00A77D27"/>
    <w:rsid w:val="00A81352"/>
    <w:rsid w:val="00A8196B"/>
    <w:rsid w:val="00A83A6F"/>
    <w:rsid w:val="00A83F36"/>
    <w:rsid w:val="00A84583"/>
    <w:rsid w:val="00A84DAD"/>
    <w:rsid w:val="00A924B6"/>
    <w:rsid w:val="00A92701"/>
    <w:rsid w:val="00A932E2"/>
    <w:rsid w:val="00A93A8F"/>
    <w:rsid w:val="00A9408A"/>
    <w:rsid w:val="00A94791"/>
    <w:rsid w:val="00A94A39"/>
    <w:rsid w:val="00A94B3D"/>
    <w:rsid w:val="00A95797"/>
    <w:rsid w:val="00A9651D"/>
    <w:rsid w:val="00A96DFB"/>
    <w:rsid w:val="00AA2992"/>
    <w:rsid w:val="00AA3246"/>
    <w:rsid w:val="00AA3908"/>
    <w:rsid w:val="00AA4F4B"/>
    <w:rsid w:val="00AA594C"/>
    <w:rsid w:val="00AA5FC8"/>
    <w:rsid w:val="00AA6695"/>
    <w:rsid w:val="00AA7492"/>
    <w:rsid w:val="00AA7C97"/>
    <w:rsid w:val="00AB0456"/>
    <w:rsid w:val="00AB2AFE"/>
    <w:rsid w:val="00AC2148"/>
    <w:rsid w:val="00AC25E4"/>
    <w:rsid w:val="00AC2889"/>
    <w:rsid w:val="00AC5459"/>
    <w:rsid w:val="00AC596B"/>
    <w:rsid w:val="00AC6119"/>
    <w:rsid w:val="00AC7255"/>
    <w:rsid w:val="00AD0B48"/>
    <w:rsid w:val="00AD16CD"/>
    <w:rsid w:val="00AD4B7F"/>
    <w:rsid w:val="00AD5B93"/>
    <w:rsid w:val="00AE17FB"/>
    <w:rsid w:val="00AE40F1"/>
    <w:rsid w:val="00AE5BDD"/>
    <w:rsid w:val="00AE65C9"/>
    <w:rsid w:val="00AE6837"/>
    <w:rsid w:val="00AF031B"/>
    <w:rsid w:val="00AF1819"/>
    <w:rsid w:val="00AF18E1"/>
    <w:rsid w:val="00AF19D8"/>
    <w:rsid w:val="00AF1F81"/>
    <w:rsid w:val="00AF400A"/>
    <w:rsid w:val="00AF5751"/>
    <w:rsid w:val="00AF6ADE"/>
    <w:rsid w:val="00AF701B"/>
    <w:rsid w:val="00B00007"/>
    <w:rsid w:val="00B0241E"/>
    <w:rsid w:val="00B0678B"/>
    <w:rsid w:val="00B069ED"/>
    <w:rsid w:val="00B06D16"/>
    <w:rsid w:val="00B10B50"/>
    <w:rsid w:val="00B10DC3"/>
    <w:rsid w:val="00B142ED"/>
    <w:rsid w:val="00B155EB"/>
    <w:rsid w:val="00B21831"/>
    <w:rsid w:val="00B21AD3"/>
    <w:rsid w:val="00B22C04"/>
    <w:rsid w:val="00B2348B"/>
    <w:rsid w:val="00B23568"/>
    <w:rsid w:val="00B2360E"/>
    <w:rsid w:val="00B24F73"/>
    <w:rsid w:val="00B27347"/>
    <w:rsid w:val="00B31037"/>
    <w:rsid w:val="00B31ECA"/>
    <w:rsid w:val="00B31EE2"/>
    <w:rsid w:val="00B32A59"/>
    <w:rsid w:val="00B34117"/>
    <w:rsid w:val="00B367B3"/>
    <w:rsid w:val="00B37F22"/>
    <w:rsid w:val="00B40B32"/>
    <w:rsid w:val="00B40B55"/>
    <w:rsid w:val="00B42ADA"/>
    <w:rsid w:val="00B42FF8"/>
    <w:rsid w:val="00B43757"/>
    <w:rsid w:val="00B45DB0"/>
    <w:rsid w:val="00B466EA"/>
    <w:rsid w:val="00B50A79"/>
    <w:rsid w:val="00B51041"/>
    <w:rsid w:val="00B527BE"/>
    <w:rsid w:val="00B527DE"/>
    <w:rsid w:val="00B54483"/>
    <w:rsid w:val="00B55215"/>
    <w:rsid w:val="00B5622F"/>
    <w:rsid w:val="00B57FF9"/>
    <w:rsid w:val="00B60945"/>
    <w:rsid w:val="00B609B7"/>
    <w:rsid w:val="00B612DD"/>
    <w:rsid w:val="00B614FA"/>
    <w:rsid w:val="00B619A3"/>
    <w:rsid w:val="00B64093"/>
    <w:rsid w:val="00B6567B"/>
    <w:rsid w:val="00B65C5D"/>
    <w:rsid w:val="00B65D95"/>
    <w:rsid w:val="00B7320C"/>
    <w:rsid w:val="00B73B83"/>
    <w:rsid w:val="00B741CD"/>
    <w:rsid w:val="00B74273"/>
    <w:rsid w:val="00B75BDF"/>
    <w:rsid w:val="00B760CF"/>
    <w:rsid w:val="00B76109"/>
    <w:rsid w:val="00B763F8"/>
    <w:rsid w:val="00B76B20"/>
    <w:rsid w:val="00B77191"/>
    <w:rsid w:val="00B805C0"/>
    <w:rsid w:val="00B80822"/>
    <w:rsid w:val="00B80C96"/>
    <w:rsid w:val="00B811B6"/>
    <w:rsid w:val="00B81A2C"/>
    <w:rsid w:val="00B82202"/>
    <w:rsid w:val="00B8442A"/>
    <w:rsid w:val="00B91A7E"/>
    <w:rsid w:val="00BA108E"/>
    <w:rsid w:val="00BA11C9"/>
    <w:rsid w:val="00BA1BE5"/>
    <w:rsid w:val="00BA24F2"/>
    <w:rsid w:val="00BA2F70"/>
    <w:rsid w:val="00BA5FB8"/>
    <w:rsid w:val="00BA66F2"/>
    <w:rsid w:val="00BA77D2"/>
    <w:rsid w:val="00BA7AC7"/>
    <w:rsid w:val="00BB17FA"/>
    <w:rsid w:val="00BB4E13"/>
    <w:rsid w:val="00BB608D"/>
    <w:rsid w:val="00BB684B"/>
    <w:rsid w:val="00BB6E9A"/>
    <w:rsid w:val="00BC1096"/>
    <w:rsid w:val="00BC1A2D"/>
    <w:rsid w:val="00BC270A"/>
    <w:rsid w:val="00BC32CD"/>
    <w:rsid w:val="00BC38F3"/>
    <w:rsid w:val="00BC3F40"/>
    <w:rsid w:val="00BC5A54"/>
    <w:rsid w:val="00BC5E68"/>
    <w:rsid w:val="00BC65B3"/>
    <w:rsid w:val="00BC6E4B"/>
    <w:rsid w:val="00BC7176"/>
    <w:rsid w:val="00BD1F9D"/>
    <w:rsid w:val="00BD2133"/>
    <w:rsid w:val="00BD3587"/>
    <w:rsid w:val="00BD6D2E"/>
    <w:rsid w:val="00BE0E51"/>
    <w:rsid w:val="00BE322C"/>
    <w:rsid w:val="00BE413B"/>
    <w:rsid w:val="00BE4C7B"/>
    <w:rsid w:val="00BE669F"/>
    <w:rsid w:val="00BE6EFF"/>
    <w:rsid w:val="00BF1093"/>
    <w:rsid w:val="00BF134E"/>
    <w:rsid w:val="00BF1690"/>
    <w:rsid w:val="00BF2319"/>
    <w:rsid w:val="00BF5B2D"/>
    <w:rsid w:val="00BF5BDC"/>
    <w:rsid w:val="00BF5C91"/>
    <w:rsid w:val="00BF6F97"/>
    <w:rsid w:val="00BF7DCC"/>
    <w:rsid w:val="00C024B9"/>
    <w:rsid w:val="00C0259A"/>
    <w:rsid w:val="00C03EEB"/>
    <w:rsid w:val="00C047FB"/>
    <w:rsid w:val="00C04FB8"/>
    <w:rsid w:val="00C05107"/>
    <w:rsid w:val="00C053E1"/>
    <w:rsid w:val="00C06C1C"/>
    <w:rsid w:val="00C0751B"/>
    <w:rsid w:val="00C07E27"/>
    <w:rsid w:val="00C1459E"/>
    <w:rsid w:val="00C14A18"/>
    <w:rsid w:val="00C14E4F"/>
    <w:rsid w:val="00C16FFD"/>
    <w:rsid w:val="00C17F0F"/>
    <w:rsid w:val="00C20A32"/>
    <w:rsid w:val="00C20DB2"/>
    <w:rsid w:val="00C22F1B"/>
    <w:rsid w:val="00C234A3"/>
    <w:rsid w:val="00C23ADA"/>
    <w:rsid w:val="00C26372"/>
    <w:rsid w:val="00C26BC5"/>
    <w:rsid w:val="00C3094E"/>
    <w:rsid w:val="00C325A3"/>
    <w:rsid w:val="00C33567"/>
    <w:rsid w:val="00C3414C"/>
    <w:rsid w:val="00C37350"/>
    <w:rsid w:val="00C37D68"/>
    <w:rsid w:val="00C40D2B"/>
    <w:rsid w:val="00C40D56"/>
    <w:rsid w:val="00C41466"/>
    <w:rsid w:val="00C41DE3"/>
    <w:rsid w:val="00C42D6F"/>
    <w:rsid w:val="00C467DC"/>
    <w:rsid w:val="00C47171"/>
    <w:rsid w:val="00C4794D"/>
    <w:rsid w:val="00C47BF2"/>
    <w:rsid w:val="00C52BD4"/>
    <w:rsid w:val="00C53758"/>
    <w:rsid w:val="00C53DB2"/>
    <w:rsid w:val="00C54131"/>
    <w:rsid w:val="00C556F6"/>
    <w:rsid w:val="00C566EC"/>
    <w:rsid w:val="00C57996"/>
    <w:rsid w:val="00C6068E"/>
    <w:rsid w:val="00C62557"/>
    <w:rsid w:val="00C63B46"/>
    <w:rsid w:val="00C63D09"/>
    <w:rsid w:val="00C645D7"/>
    <w:rsid w:val="00C6480F"/>
    <w:rsid w:val="00C651D9"/>
    <w:rsid w:val="00C66254"/>
    <w:rsid w:val="00C6633E"/>
    <w:rsid w:val="00C66A75"/>
    <w:rsid w:val="00C673F9"/>
    <w:rsid w:val="00C700EC"/>
    <w:rsid w:val="00C70269"/>
    <w:rsid w:val="00C708AE"/>
    <w:rsid w:val="00C731F3"/>
    <w:rsid w:val="00C7441F"/>
    <w:rsid w:val="00C745BE"/>
    <w:rsid w:val="00C74846"/>
    <w:rsid w:val="00C75724"/>
    <w:rsid w:val="00C75C0F"/>
    <w:rsid w:val="00C76B14"/>
    <w:rsid w:val="00C76EA1"/>
    <w:rsid w:val="00C77F9D"/>
    <w:rsid w:val="00C80F18"/>
    <w:rsid w:val="00C8161B"/>
    <w:rsid w:val="00C81E8D"/>
    <w:rsid w:val="00C84B56"/>
    <w:rsid w:val="00C84E8F"/>
    <w:rsid w:val="00C853D5"/>
    <w:rsid w:val="00C8574F"/>
    <w:rsid w:val="00C90150"/>
    <w:rsid w:val="00C91A8D"/>
    <w:rsid w:val="00C93215"/>
    <w:rsid w:val="00C95C98"/>
    <w:rsid w:val="00C96A36"/>
    <w:rsid w:val="00C97D54"/>
    <w:rsid w:val="00CA0150"/>
    <w:rsid w:val="00CA42EC"/>
    <w:rsid w:val="00CA6A59"/>
    <w:rsid w:val="00CA757B"/>
    <w:rsid w:val="00CB1818"/>
    <w:rsid w:val="00CB1BBC"/>
    <w:rsid w:val="00CB1E55"/>
    <w:rsid w:val="00CB319E"/>
    <w:rsid w:val="00CB3571"/>
    <w:rsid w:val="00CB457F"/>
    <w:rsid w:val="00CB464F"/>
    <w:rsid w:val="00CB53D8"/>
    <w:rsid w:val="00CB63E8"/>
    <w:rsid w:val="00CC00F4"/>
    <w:rsid w:val="00CC22E2"/>
    <w:rsid w:val="00CC3EF2"/>
    <w:rsid w:val="00CC4C34"/>
    <w:rsid w:val="00CD1592"/>
    <w:rsid w:val="00CD2A82"/>
    <w:rsid w:val="00CD3CD0"/>
    <w:rsid w:val="00CD3F0E"/>
    <w:rsid w:val="00CE013E"/>
    <w:rsid w:val="00CE02C7"/>
    <w:rsid w:val="00CE0FC1"/>
    <w:rsid w:val="00CE15AE"/>
    <w:rsid w:val="00CE386B"/>
    <w:rsid w:val="00CE4461"/>
    <w:rsid w:val="00CE47AF"/>
    <w:rsid w:val="00CF0A57"/>
    <w:rsid w:val="00CF2933"/>
    <w:rsid w:val="00CF2950"/>
    <w:rsid w:val="00CF42A1"/>
    <w:rsid w:val="00CF4D53"/>
    <w:rsid w:val="00CF51CA"/>
    <w:rsid w:val="00CF6870"/>
    <w:rsid w:val="00CF6BA4"/>
    <w:rsid w:val="00D01C08"/>
    <w:rsid w:val="00D01FA7"/>
    <w:rsid w:val="00D02955"/>
    <w:rsid w:val="00D04DDC"/>
    <w:rsid w:val="00D058A8"/>
    <w:rsid w:val="00D05A7F"/>
    <w:rsid w:val="00D07561"/>
    <w:rsid w:val="00D07602"/>
    <w:rsid w:val="00D077A2"/>
    <w:rsid w:val="00D10D00"/>
    <w:rsid w:val="00D10DF3"/>
    <w:rsid w:val="00D11965"/>
    <w:rsid w:val="00D13894"/>
    <w:rsid w:val="00D13CE5"/>
    <w:rsid w:val="00D140C6"/>
    <w:rsid w:val="00D15250"/>
    <w:rsid w:val="00D15D27"/>
    <w:rsid w:val="00D20020"/>
    <w:rsid w:val="00D20A2F"/>
    <w:rsid w:val="00D20D72"/>
    <w:rsid w:val="00D25199"/>
    <w:rsid w:val="00D2590F"/>
    <w:rsid w:val="00D25E26"/>
    <w:rsid w:val="00D277D7"/>
    <w:rsid w:val="00D31B46"/>
    <w:rsid w:val="00D3227B"/>
    <w:rsid w:val="00D32A3F"/>
    <w:rsid w:val="00D34A4B"/>
    <w:rsid w:val="00D34ACC"/>
    <w:rsid w:val="00D3656D"/>
    <w:rsid w:val="00D37861"/>
    <w:rsid w:val="00D37899"/>
    <w:rsid w:val="00D37956"/>
    <w:rsid w:val="00D37F7F"/>
    <w:rsid w:val="00D4093E"/>
    <w:rsid w:val="00D40C3B"/>
    <w:rsid w:val="00D417C3"/>
    <w:rsid w:val="00D4336E"/>
    <w:rsid w:val="00D438DA"/>
    <w:rsid w:val="00D43FD1"/>
    <w:rsid w:val="00D44718"/>
    <w:rsid w:val="00D45280"/>
    <w:rsid w:val="00D453B6"/>
    <w:rsid w:val="00D45810"/>
    <w:rsid w:val="00D4680E"/>
    <w:rsid w:val="00D5095C"/>
    <w:rsid w:val="00D5170A"/>
    <w:rsid w:val="00D5268D"/>
    <w:rsid w:val="00D53239"/>
    <w:rsid w:val="00D53270"/>
    <w:rsid w:val="00D53750"/>
    <w:rsid w:val="00D5435D"/>
    <w:rsid w:val="00D557AA"/>
    <w:rsid w:val="00D56098"/>
    <w:rsid w:val="00D568CF"/>
    <w:rsid w:val="00D573B3"/>
    <w:rsid w:val="00D57EF6"/>
    <w:rsid w:val="00D6029F"/>
    <w:rsid w:val="00D60728"/>
    <w:rsid w:val="00D62442"/>
    <w:rsid w:val="00D63D88"/>
    <w:rsid w:val="00D64593"/>
    <w:rsid w:val="00D6688E"/>
    <w:rsid w:val="00D708C1"/>
    <w:rsid w:val="00D711DE"/>
    <w:rsid w:val="00D72066"/>
    <w:rsid w:val="00D7226B"/>
    <w:rsid w:val="00D7385E"/>
    <w:rsid w:val="00D73969"/>
    <w:rsid w:val="00D74409"/>
    <w:rsid w:val="00D75D45"/>
    <w:rsid w:val="00D76EA9"/>
    <w:rsid w:val="00D80073"/>
    <w:rsid w:val="00D81323"/>
    <w:rsid w:val="00D81F17"/>
    <w:rsid w:val="00D90490"/>
    <w:rsid w:val="00D91701"/>
    <w:rsid w:val="00D91A9F"/>
    <w:rsid w:val="00D921DF"/>
    <w:rsid w:val="00D9283D"/>
    <w:rsid w:val="00D94E7C"/>
    <w:rsid w:val="00D94ECA"/>
    <w:rsid w:val="00D95A83"/>
    <w:rsid w:val="00D972D0"/>
    <w:rsid w:val="00D97AC9"/>
    <w:rsid w:val="00DA0109"/>
    <w:rsid w:val="00DA3A22"/>
    <w:rsid w:val="00DA58EC"/>
    <w:rsid w:val="00DA59C1"/>
    <w:rsid w:val="00DA5ACD"/>
    <w:rsid w:val="00DA5DF6"/>
    <w:rsid w:val="00DA647B"/>
    <w:rsid w:val="00DA682C"/>
    <w:rsid w:val="00DB2448"/>
    <w:rsid w:val="00DB3A67"/>
    <w:rsid w:val="00DB3CF6"/>
    <w:rsid w:val="00DB5A9E"/>
    <w:rsid w:val="00DB6B80"/>
    <w:rsid w:val="00DB70B8"/>
    <w:rsid w:val="00DB74E7"/>
    <w:rsid w:val="00DC079C"/>
    <w:rsid w:val="00DC2236"/>
    <w:rsid w:val="00DC2E24"/>
    <w:rsid w:val="00DC37BA"/>
    <w:rsid w:val="00DC469A"/>
    <w:rsid w:val="00DC5F6E"/>
    <w:rsid w:val="00DC7382"/>
    <w:rsid w:val="00DC7CEE"/>
    <w:rsid w:val="00DD13F7"/>
    <w:rsid w:val="00DD191B"/>
    <w:rsid w:val="00DD1D6C"/>
    <w:rsid w:val="00DD1DE9"/>
    <w:rsid w:val="00DD4827"/>
    <w:rsid w:val="00DD5863"/>
    <w:rsid w:val="00DD7260"/>
    <w:rsid w:val="00DD7B71"/>
    <w:rsid w:val="00DE0A23"/>
    <w:rsid w:val="00DE0C2F"/>
    <w:rsid w:val="00DE0F16"/>
    <w:rsid w:val="00DE37E9"/>
    <w:rsid w:val="00DE472A"/>
    <w:rsid w:val="00DE504C"/>
    <w:rsid w:val="00DE5967"/>
    <w:rsid w:val="00DE5DDB"/>
    <w:rsid w:val="00DE66CB"/>
    <w:rsid w:val="00DE6E6A"/>
    <w:rsid w:val="00DE6E7F"/>
    <w:rsid w:val="00DE7044"/>
    <w:rsid w:val="00DE750E"/>
    <w:rsid w:val="00DE7DC1"/>
    <w:rsid w:val="00DF0625"/>
    <w:rsid w:val="00DF16B3"/>
    <w:rsid w:val="00DF4160"/>
    <w:rsid w:val="00E006B9"/>
    <w:rsid w:val="00E01434"/>
    <w:rsid w:val="00E03DD5"/>
    <w:rsid w:val="00E04A29"/>
    <w:rsid w:val="00E05A85"/>
    <w:rsid w:val="00E06FEE"/>
    <w:rsid w:val="00E078AD"/>
    <w:rsid w:val="00E07A11"/>
    <w:rsid w:val="00E10590"/>
    <w:rsid w:val="00E12427"/>
    <w:rsid w:val="00E12AE1"/>
    <w:rsid w:val="00E140B7"/>
    <w:rsid w:val="00E14414"/>
    <w:rsid w:val="00E14994"/>
    <w:rsid w:val="00E157B3"/>
    <w:rsid w:val="00E159C2"/>
    <w:rsid w:val="00E210C7"/>
    <w:rsid w:val="00E229C5"/>
    <w:rsid w:val="00E234E4"/>
    <w:rsid w:val="00E23631"/>
    <w:rsid w:val="00E23CF5"/>
    <w:rsid w:val="00E255CB"/>
    <w:rsid w:val="00E313C9"/>
    <w:rsid w:val="00E31459"/>
    <w:rsid w:val="00E32079"/>
    <w:rsid w:val="00E344E1"/>
    <w:rsid w:val="00E34949"/>
    <w:rsid w:val="00E34F01"/>
    <w:rsid w:val="00E35A0C"/>
    <w:rsid w:val="00E40872"/>
    <w:rsid w:val="00E40E02"/>
    <w:rsid w:val="00E4380B"/>
    <w:rsid w:val="00E445BA"/>
    <w:rsid w:val="00E44620"/>
    <w:rsid w:val="00E44989"/>
    <w:rsid w:val="00E45A66"/>
    <w:rsid w:val="00E45D7E"/>
    <w:rsid w:val="00E467A8"/>
    <w:rsid w:val="00E46CDE"/>
    <w:rsid w:val="00E47554"/>
    <w:rsid w:val="00E505B2"/>
    <w:rsid w:val="00E505EB"/>
    <w:rsid w:val="00E510FD"/>
    <w:rsid w:val="00E519F3"/>
    <w:rsid w:val="00E520A5"/>
    <w:rsid w:val="00E525C6"/>
    <w:rsid w:val="00E52A2B"/>
    <w:rsid w:val="00E536F0"/>
    <w:rsid w:val="00E55ACC"/>
    <w:rsid w:val="00E5699B"/>
    <w:rsid w:val="00E56C5D"/>
    <w:rsid w:val="00E56CF9"/>
    <w:rsid w:val="00E602C6"/>
    <w:rsid w:val="00E605CC"/>
    <w:rsid w:val="00E60F9C"/>
    <w:rsid w:val="00E6271A"/>
    <w:rsid w:val="00E63921"/>
    <w:rsid w:val="00E647CE"/>
    <w:rsid w:val="00E664C9"/>
    <w:rsid w:val="00E667C3"/>
    <w:rsid w:val="00E6693C"/>
    <w:rsid w:val="00E678B6"/>
    <w:rsid w:val="00E71C3D"/>
    <w:rsid w:val="00E7260A"/>
    <w:rsid w:val="00E7392C"/>
    <w:rsid w:val="00E73ABC"/>
    <w:rsid w:val="00E74B34"/>
    <w:rsid w:val="00E826BA"/>
    <w:rsid w:val="00E83775"/>
    <w:rsid w:val="00E8585A"/>
    <w:rsid w:val="00E86C79"/>
    <w:rsid w:val="00E86CBF"/>
    <w:rsid w:val="00E919BC"/>
    <w:rsid w:val="00E92187"/>
    <w:rsid w:val="00E938FD"/>
    <w:rsid w:val="00E97288"/>
    <w:rsid w:val="00E97847"/>
    <w:rsid w:val="00EA10FE"/>
    <w:rsid w:val="00EA1C18"/>
    <w:rsid w:val="00EA28B4"/>
    <w:rsid w:val="00EA327F"/>
    <w:rsid w:val="00EA36E1"/>
    <w:rsid w:val="00EA439C"/>
    <w:rsid w:val="00EB1F8E"/>
    <w:rsid w:val="00EB2C14"/>
    <w:rsid w:val="00EB3228"/>
    <w:rsid w:val="00EB42E2"/>
    <w:rsid w:val="00EB54D5"/>
    <w:rsid w:val="00EB5E32"/>
    <w:rsid w:val="00EB5FDD"/>
    <w:rsid w:val="00EB6041"/>
    <w:rsid w:val="00EC07DA"/>
    <w:rsid w:val="00EC28BD"/>
    <w:rsid w:val="00EC4536"/>
    <w:rsid w:val="00EC5856"/>
    <w:rsid w:val="00EC7170"/>
    <w:rsid w:val="00EC763D"/>
    <w:rsid w:val="00ED09B3"/>
    <w:rsid w:val="00ED0D83"/>
    <w:rsid w:val="00ED1A04"/>
    <w:rsid w:val="00ED1DF1"/>
    <w:rsid w:val="00ED400E"/>
    <w:rsid w:val="00EE1608"/>
    <w:rsid w:val="00EE16C1"/>
    <w:rsid w:val="00EE2967"/>
    <w:rsid w:val="00EE31E8"/>
    <w:rsid w:val="00EE33FF"/>
    <w:rsid w:val="00EE4315"/>
    <w:rsid w:val="00EE56B3"/>
    <w:rsid w:val="00EE6D27"/>
    <w:rsid w:val="00EE70A9"/>
    <w:rsid w:val="00EF0D6D"/>
    <w:rsid w:val="00EF0DBF"/>
    <w:rsid w:val="00EF1633"/>
    <w:rsid w:val="00EF1C07"/>
    <w:rsid w:val="00EF28B6"/>
    <w:rsid w:val="00EF3FD7"/>
    <w:rsid w:val="00EF66BF"/>
    <w:rsid w:val="00EF77B7"/>
    <w:rsid w:val="00EF7F4A"/>
    <w:rsid w:val="00F00466"/>
    <w:rsid w:val="00F04E23"/>
    <w:rsid w:val="00F06293"/>
    <w:rsid w:val="00F10043"/>
    <w:rsid w:val="00F10368"/>
    <w:rsid w:val="00F10C87"/>
    <w:rsid w:val="00F1259E"/>
    <w:rsid w:val="00F126A2"/>
    <w:rsid w:val="00F127E7"/>
    <w:rsid w:val="00F1379A"/>
    <w:rsid w:val="00F171D0"/>
    <w:rsid w:val="00F17920"/>
    <w:rsid w:val="00F20151"/>
    <w:rsid w:val="00F208A3"/>
    <w:rsid w:val="00F20B1A"/>
    <w:rsid w:val="00F21C6B"/>
    <w:rsid w:val="00F22542"/>
    <w:rsid w:val="00F242B1"/>
    <w:rsid w:val="00F246E5"/>
    <w:rsid w:val="00F24A3A"/>
    <w:rsid w:val="00F27DB0"/>
    <w:rsid w:val="00F304EA"/>
    <w:rsid w:val="00F30BE5"/>
    <w:rsid w:val="00F30E88"/>
    <w:rsid w:val="00F3213B"/>
    <w:rsid w:val="00F365A1"/>
    <w:rsid w:val="00F36E33"/>
    <w:rsid w:val="00F4101E"/>
    <w:rsid w:val="00F41D4D"/>
    <w:rsid w:val="00F42189"/>
    <w:rsid w:val="00F4338B"/>
    <w:rsid w:val="00F4382D"/>
    <w:rsid w:val="00F43D08"/>
    <w:rsid w:val="00F43DE3"/>
    <w:rsid w:val="00F4420B"/>
    <w:rsid w:val="00F450B6"/>
    <w:rsid w:val="00F47171"/>
    <w:rsid w:val="00F4719A"/>
    <w:rsid w:val="00F47F49"/>
    <w:rsid w:val="00F500A3"/>
    <w:rsid w:val="00F50590"/>
    <w:rsid w:val="00F509F5"/>
    <w:rsid w:val="00F518BD"/>
    <w:rsid w:val="00F60E4D"/>
    <w:rsid w:val="00F616FA"/>
    <w:rsid w:val="00F6429C"/>
    <w:rsid w:val="00F6453A"/>
    <w:rsid w:val="00F652EC"/>
    <w:rsid w:val="00F70012"/>
    <w:rsid w:val="00F70316"/>
    <w:rsid w:val="00F7031F"/>
    <w:rsid w:val="00F70B43"/>
    <w:rsid w:val="00F75E9D"/>
    <w:rsid w:val="00F76479"/>
    <w:rsid w:val="00F76F1F"/>
    <w:rsid w:val="00F8029A"/>
    <w:rsid w:val="00F806D4"/>
    <w:rsid w:val="00F811D1"/>
    <w:rsid w:val="00F81DA9"/>
    <w:rsid w:val="00F81DC6"/>
    <w:rsid w:val="00F8306B"/>
    <w:rsid w:val="00F83D08"/>
    <w:rsid w:val="00F84DCC"/>
    <w:rsid w:val="00F86799"/>
    <w:rsid w:val="00F90557"/>
    <w:rsid w:val="00F910CC"/>
    <w:rsid w:val="00F91FE1"/>
    <w:rsid w:val="00F9270E"/>
    <w:rsid w:val="00F9516B"/>
    <w:rsid w:val="00F96BE4"/>
    <w:rsid w:val="00F97078"/>
    <w:rsid w:val="00FA01CD"/>
    <w:rsid w:val="00FA1903"/>
    <w:rsid w:val="00FA1E7C"/>
    <w:rsid w:val="00FA22BD"/>
    <w:rsid w:val="00FA3146"/>
    <w:rsid w:val="00FA44DA"/>
    <w:rsid w:val="00FA47E2"/>
    <w:rsid w:val="00FA511F"/>
    <w:rsid w:val="00FA532B"/>
    <w:rsid w:val="00FA5535"/>
    <w:rsid w:val="00FA59C8"/>
    <w:rsid w:val="00FA674E"/>
    <w:rsid w:val="00FB0031"/>
    <w:rsid w:val="00FB2C01"/>
    <w:rsid w:val="00FB3250"/>
    <w:rsid w:val="00FB334B"/>
    <w:rsid w:val="00FB4DFF"/>
    <w:rsid w:val="00FB5157"/>
    <w:rsid w:val="00FB6816"/>
    <w:rsid w:val="00FC077B"/>
    <w:rsid w:val="00FC099E"/>
    <w:rsid w:val="00FC1D25"/>
    <w:rsid w:val="00FC2082"/>
    <w:rsid w:val="00FC3184"/>
    <w:rsid w:val="00FC3563"/>
    <w:rsid w:val="00FC3B97"/>
    <w:rsid w:val="00FC5AC6"/>
    <w:rsid w:val="00FC75E4"/>
    <w:rsid w:val="00FC762D"/>
    <w:rsid w:val="00FD0463"/>
    <w:rsid w:val="00FD0AE3"/>
    <w:rsid w:val="00FD0D51"/>
    <w:rsid w:val="00FD1E6D"/>
    <w:rsid w:val="00FD2A19"/>
    <w:rsid w:val="00FD6EF9"/>
    <w:rsid w:val="00FE11E7"/>
    <w:rsid w:val="00FE1A87"/>
    <w:rsid w:val="00FE1C4B"/>
    <w:rsid w:val="00FE2B06"/>
    <w:rsid w:val="00FE3815"/>
    <w:rsid w:val="00FE3F21"/>
    <w:rsid w:val="00FE43DC"/>
    <w:rsid w:val="00FE453D"/>
    <w:rsid w:val="00FE4EDA"/>
    <w:rsid w:val="00FE5B1F"/>
    <w:rsid w:val="00FE5C39"/>
    <w:rsid w:val="00FE7AA5"/>
    <w:rsid w:val="00FF1C3F"/>
    <w:rsid w:val="00FF1D09"/>
    <w:rsid w:val="00FF4BE4"/>
    <w:rsid w:val="00FF56E6"/>
    <w:rsid w:val="00FF6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786C88DA-D136-4235-91DB-45487E57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52"/>
    <w:pPr>
      <w:spacing w:line="280" w:lineRule="atLeast"/>
      <w:jc w:val="both"/>
    </w:pPr>
    <w:rPr>
      <w:sz w:val="24"/>
      <w:szCs w:val="24"/>
      <w:lang w:val="hr-HR" w:eastAsia="ja-JP"/>
    </w:rPr>
  </w:style>
  <w:style w:type="paragraph" w:styleId="Heading1">
    <w:name w:val="heading 1"/>
    <w:basedOn w:val="Normal"/>
    <w:next w:val="Normal"/>
    <w:link w:val="Heading1Char"/>
    <w:uiPriority w:val="99"/>
    <w:qFormat/>
    <w:rsid w:val="000D2C3F"/>
    <w:pPr>
      <w:keepNext/>
      <w:spacing w:after="200"/>
      <w:ind w:left="397" w:hanging="397"/>
      <w:outlineLvl w:val="0"/>
    </w:pPr>
    <w:rPr>
      <w:rFonts w:cs="Arial"/>
      <w:b/>
      <w:bCs/>
      <w:kern w:val="32"/>
      <w:sz w:val="32"/>
      <w:szCs w:val="32"/>
    </w:rPr>
  </w:style>
  <w:style w:type="paragraph" w:styleId="Heading2">
    <w:name w:val="heading 2"/>
    <w:basedOn w:val="Normal"/>
    <w:next w:val="Normal"/>
    <w:link w:val="Heading2Char"/>
    <w:uiPriority w:val="99"/>
    <w:qFormat/>
    <w:rsid w:val="004E199F"/>
    <w:pPr>
      <w:keepNext/>
      <w:spacing w:before="120"/>
      <w:outlineLvl w:val="1"/>
    </w:pPr>
    <w:rPr>
      <w:rFonts w:ascii="Times New Roman Bold" w:hAnsi="Times New Roman Bold" w:cs="Arial"/>
      <w:b/>
      <w:bCs/>
      <w:iCs/>
      <w:sz w:val="28"/>
      <w:szCs w:val="28"/>
    </w:rPr>
  </w:style>
  <w:style w:type="paragraph" w:styleId="Heading3">
    <w:name w:val="heading 3"/>
    <w:basedOn w:val="Normal"/>
    <w:next w:val="Normal"/>
    <w:link w:val="Heading3Char"/>
    <w:uiPriority w:val="99"/>
    <w:qFormat/>
    <w:rsid w:val="00180D47"/>
    <w:pPr>
      <w:keepNext/>
      <w:spacing w:before="120"/>
      <w:ind w:left="680" w:hanging="680"/>
      <w:outlineLvl w:val="2"/>
    </w:pPr>
    <w:rPr>
      <w:rFonts w:ascii="Times New Roman Bold" w:hAnsi="Times New Roman Bold"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66A3B"/>
    <w:rPr>
      <w:color w:val="0000FF"/>
      <w:u w:val="single"/>
    </w:rPr>
  </w:style>
  <w:style w:type="paragraph" w:customStyle="1" w:styleId="NASLOVPOGLAVLJA">
    <w:name w:val="NASLOV POGLAVLJA"/>
    <w:basedOn w:val="Normal"/>
    <w:uiPriority w:val="99"/>
    <w:rsid w:val="00BD1F9D"/>
    <w:pPr>
      <w:tabs>
        <w:tab w:val="left" w:pos="426"/>
      </w:tabs>
      <w:spacing w:after="240"/>
      <w:ind w:left="426" w:hanging="426"/>
    </w:pPr>
    <w:rPr>
      <w:rFonts w:eastAsia="Arial Unicode MS"/>
      <w:b/>
      <w:sz w:val="28"/>
      <w:szCs w:val="28"/>
    </w:rPr>
  </w:style>
  <w:style w:type="paragraph" w:customStyle="1" w:styleId="PRVIPODNASLOV">
    <w:name w:val="PRVI PODNASLOV"/>
    <w:basedOn w:val="Normal"/>
    <w:rsid w:val="001D3E1B"/>
    <w:pPr>
      <w:tabs>
        <w:tab w:val="left" w:pos="709"/>
      </w:tabs>
      <w:spacing w:after="120"/>
      <w:ind w:left="709" w:hanging="709"/>
      <w:outlineLvl w:val="1"/>
    </w:pPr>
    <w:rPr>
      <w:b/>
    </w:rPr>
  </w:style>
  <w:style w:type="paragraph" w:customStyle="1" w:styleId="DRUGIPODNASLOV">
    <w:name w:val="DRUGI PODNASLOV"/>
    <w:basedOn w:val="Normal"/>
    <w:rsid w:val="001D3E1B"/>
    <w:pPr>
      <w:tabs>
        <w:tab w:val="left" w:pos="851"/>
      </w:tabs>
      <w:spacing w:before="360" w:after="120"/>
      <w:ind w:left="851" w:hanging="851"/>
    </w:pPr>
    <w:rPr>
      <w:b/>
    </w:rPr>
  </w:style>
  <w:style w:type="paragraph" w:styleId="TOC2">
    <w:name w:val="toc 2"/>
    <w:basedOn w:val="Normal"/>
    <w:next w:val="Normal"/>
    <w:autoRedefine/>
    <w:uiPriority w:val="39"/>
    <w:rsid w:val="00F910CC"/>
    <w:pPr>
      <w:tabs>
        <w:tab w:val="right" w:leader="dot" w:pos="9060"/>
      </w:tabs>
      <w:spacing w:before="120"/>
      <w:ind w:left="510" w:right="567" w:hanging="255"/>
      <w:jc w:val="left"/>
    </w:pPr>
    <w:rPr>
      <w:rFonts w:ascii="Times New Roman Bold" w:hAnsi="Times New Roman Bold"/>
      <w:b/>
      <w:bCs/>
      <w:sz w:val="22"/>
      <w:szCs w:val="22"/>
    </w:rPr>
  </w:style>
  <w:style w:type="paragraph" w:styleId="TOC1">
    <w:name w:val="toc 1"/>
    <w:basedOn w:val="Tablica"/>
    <w:next w:val="Normal"/>
    <w:autoRedefine/>
    <w:uiPriority w:val="39"/>
    <w:qFormat/>
    <w:rsid w:val="00F910CC"/>
    <w:pPr>
      <w:tabs>
        <w:tab w:val="right" w:leader="dot" w:pos="9060"/>
      </w:tabs>
      <w:spacing w:before="120"/>
      <w:ind w:left="255" w:right="567" w:hanging="255"/>
      <w:jc w:val="left"/>
    </w:pPr>
    <w:rPr>
      <w:rFonts w:ascii="Times New Roman Bold" w:eastAsia="MS Mincho" w:hAnsi="Times New Roman Bold"/>
      <w:b/>
      <w:bCs/>
      <w:sz w:val="26"/>
      <w:szCs w:val="24"/>
      <w:lang w:eastAsia="ja-JP"/>
    </w:rPr>
  </w:style>
  <w:style w:type="paragraph" w:customStyle="1" w:styleId="HEADERFOOTER">
    <w:name w:val="HEADER/FOOTER"/>
    <w:basedOn w:val="Normal"/>
    <w:uiPriority w:val="99"/>
    <w:rsid w:val="00F6453A"/>
    <w:rPr>
      <w:sz w:val="16"/>
    </w:rPr>
  </w:style>
  <w:style w:type="paragraph" w:styleId="TOC3">
    <w:name w:val="toc 3"/>
    <w:basedOn w:val="Normal"/>
    <w:next w:val="Normal"/>
    <w:autoRedefine/>
    <w:uiPriority w:val="39"/>
    <w:rsid w:val="00F910CC"/>
    <w:pPr>
      <w:spacing w:before="60"/>
      <w:ind w:left="482"/>
      <w:jc w:val="left"/>
    </w:pPr>
    <w:rPr>
      <w:sz w:val="22"/>
      <w:szCs w:val="20"/>
    </w:rPr>
  </w:style>
  <w:style w:type="paragraph" w:customStyle="1" w:styleId="NASLOVSTUDIJE">
    <w:name w:val="NASLOV STUDIJE"/>
    <w:basedOn w:val="Normal"/>
    <w:uiPriority w:val="99"/>
    <w:qFormat/>
    <w:rsid w:val="00F70012"/>
    <w:pPr>
      <w:jc w:val="right"/>
    </w:pPr>
    <w:rPr>
      <w:b/>
      <w:bCs/>
      <w:sz w:val="32"/>
      <w:szCs w:val="20"/>
    </w:rPr>
  </w:style>
  <w:style w:type="paragraph" w:customStyle="1" w:styleId="ZANASLOVNU">
    <w:name w:val="ZA NASLOVNU"/>
    <w:basedOn w:val="Normal"/>
    <w:uiPriority w:val="99"/>
    <w:rsid w:val="00F70012"/>
    <w:pPr>
      <w:jc w:val="right"/>
    </w:pPr>
    <w:rPr>
      <w:b/>
      <w:bCs/>
      <w:szCs w:val="20"/>
    </w:rPr>
  </w:style>
  <w:style w:type="paragraph" w:customStyle="1" w:styleId="LITERATURA">
    <w:name w:val="LITERATURA"/>
    <w:basedOn w:val="Normal"/>
    <w:uiPriority w:val="99"/>
    <w:rsid w:val="0054358D"/>
    <w:pPr>
      <w:spacing w:before="240"/>
      <w:ind w:left="992" w:hanging="992"/>
    </w:pPr>
    <w:rPr>
      <w:szCs w:val="20"/>
    </w:rPr>
  </w:style>
  <w:style w:type="paragraph" w:styleId="Header">
    <w:name w:val="header"/>
    <w:basedOn w:val="Normal"/>
    <w:link w:val="HeaderChar"/>
    <w:uiPriority w:val="99"/>
    <w:unhideWhenUsed/>
    <w:rsid w:val="00571600"/>
    <w:pPr>
      <w:tabs>
        <w:tab w:val="center" w:pos="4536"/>
        <w:tab w:val="right" w:pos="9072"/>
      </w:tabs>
    </w:pPr>
  </w:style>
  <w:style w:type="character" w:customStyle="1" w:styleId="HeaderChar">
    <w:name w:val="Header Char"/>
    <w:link w:val="Header"/>
    <w:uiPriority w:val="99"/>
    <w:rsid w:val="00571600"/>
    <w:rPr>
      <w:rFonts w:ascii="Arial" w:hAnsi="Arial"/>
      <w:sz w:val="22"/>
      <w:szCs w:val="24"/>
      <w:lang w:eastAsia="ja-JP"/>
    </w:rPr>
  </w:style>
  <w:style w:type="paragraph" w:styleId="Footer">
    <w:name w:val="footer"/>
    <w:basedOn w:val="Normal"/>
    <w:link w:val="FooterChar"/>
    <w:uiPriority w:val="99"/>
    <w:unhideWhenUsed/>
    <w:rsid w:val="00571600"/>
    <w:pPr>
      <w:tabs>
        <w:tab w:val="center" w:pos="4536"/>
        <w:tab w:val="right" w:pos="9072"/>
      </w:tabs>
    </w:pPr>
  </w:style>
  <w:style w:type="character" w:customStyle="1" w:styleId="FooterChar">
    <w:name w:val="Footer Char"/>
    <w:link w:val="Footer"/>
    <w:uiPriority w:val="99"/>
    <w:rsid w:val="00571600"/>
    <w:rPr>
      <w:rFonts w:ascii="Arial" w:hAnsi="Arial"/>
      <w:sz w:val="22"/>
      <w:szCs w:val="24"/>
      <w:lang w:eastAsia="ja-JP"/>
    </w:rPr>
  </w:style>
  <w:style w:type="paragraph" w:styleId="ListParagraph">
    <w:name w:val="List Paragraph"/>
    <w:aliases w:val="REPORT Bullet,Nabrajanje,Tocka,KiF bullets,UNIZG_ALU_bullet,Lettre d'introduction,FM,Akapit z listą BS,Bullet1,References,List Paragraph (numbered (a)),List_Paragraph,Multilevel para_II,Yellow Bullet,Normal bullet 2,Dot pt"/>
    <w:basedOn w:val="Normal"/>
    <w:link w:val="ListParagraphChar"/>
    <w:uiPriority w:val="34"/>
    <w:qFormat/>
    <w:rsid w:val="00305034"/>
    <w:pPr>
      <w:ind w:left="720"/>
      <w:contextualSpacing/>
    </w:pPr>
  </w:style>
  <w:style w:type="paragraph" w:customStyle="1" w:styleId="t-9-8">
    <w:name w:val="t-9-8"/>
    <w:basedOn w:val="Normal"/>
    <w:rsid w:val="00227B51"/>
    <w:pPr>
      <w:spacing w:before="100" w:beforeAutospacing="1" w:after="100" w:afterAutospacing="1"/>
      <w:jc w:val="left"/>
    </w:pPr>
    <w:rPr>
      <w:rFonts w:eastAsia="Times New Roman"/>
      <w:lang w:eastAsia="hr-HR"/>
    </w:rPr>
  </w:style>
  <w:style w:type="table" w:styleId="TableGrid">
    <w:name w:val="Table Grid"/>
    <w:aliases w:val="Izvjescetablica,TABLICA_HAOP"/>
    <w:basedOn w:val="TableNormal"/>
    <w:uiPriority w:val="39"/>
    <w:rsid w:val="005E576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5765"/>
    <w:rPr>
      <w:rFonts w:ascii="Tahoma" w:hAnsi="Tahoma" w:cs="Tahoma"/>
      <w:sz w:val="16"/>
      <w:szCs w:val="16"/>
    </w:rPr>
  </w:style>
  <w:style w:type="character" w:customStyle="1" w:styleId="BalloonTextChar">
    <w:name w:val="Balloon Text Char"/>
    <w:link w:val="BalloonText"/>
    <w:uiPriority w:val="99"/>
    <w:semiHidden/>
    <w:rsid w:val="005E5765"/>
    <w:rPr>
      <w:rFonts w:ascii="Tahoma" w:hAnsi="Tahoma" w:cs="Tahoma"/>
      <w:sz w:val="16"/>
      <w:szCs w:val="16"/>
      <w:lang w:eastAsia="ja-JP"/>
    </w:rPr>
  </w:style>
  <w:style w:type="paragraph" w:customStyle="1" w:styleId="TablicaAZO">
    <w:name w:val="Tablica_AZO"/>
    <w:basedOn w:val="Normal"/>
    <w:autoRedefine/>
    <w:qFormat/>
    <w:rsid w:val="000651C2"/>
    <w:pPr>
      <w:keepNext/>
    </w:pPr>
    <w:rPr>
      <w:rFonts w:eastAsia="Times New Roman" w:cs="Arial"/>
      <w:i/>
      <w:szCs w:val="22"/>
      <w:lang w:eastAsia="hr-HR"/>
    </w:rPr>
  </w:style>
  <w:style w:type="paragraph" w:customStyle="1" w:styleId="SlikaAZO">
    <w:name w:val="Slika_AZO"/>
    <w:basedOn w:val="Normal"/>
    <w:rsid w:val="00A84DAD"/>
    <w:pPr>
      <w:spacing w:before="120" w:line="360" w:lineRule="auto"/>
      <w:jc w:val="center"/>
    </w:pPr>
    <w:rPr>
      <w:rFonts w:ascii="Palatino Linotype" w:eastAsia="Times New Roman" w:hAnsi="Palatino Linotype"/>
      <w:sz w:val="20"/>
      <w:szCs w:val="20"/>
      <w:lang w:eastAsia="hr-HR"/>
    </w:rPr>
  </w:style>
  <w:style w:type="paragraph" w:customStyle="1" w:styleId="Tekst">
    <w:name w:val="Tekst"/>
    <w:basedOn w:val="Normal"/>
    <w:link w:val="TekstChar"/>
    <w:rsid w:val="002A4FAD"/>
    <w:pPr>
      <w:spacing w:line="360" w:lineRule="auto"/>
      <w:ind w:left="-851" w:firstLine="567"/>
    </w:pPr>
    <w:rPr>
      <w:rFonts w:ascii="Palatino Linotype" w:eastAsia="Times New Roman" w:hAnsi="Palatino Linotype"/>
      <w:szCs w:val="22"/>
      <w:lang w:eastAsia="hr-HR"/>
    </w:rPr>
  </w:style>
  <w:style w:type="paragraph" w:styleId="TableofFigures">
    <w:name w:val="table of figures"/>
    <w:basedOn w:val="Normal"/>
    <w:next w:val="Normal"/>
    <w:autoRedefine/>
    <w:uiPriority w:val="99"/>
    <w:rsid w:val="007756AB"/>
    <w:pPr>
      <w:spacing w:after="120"/>
      <w:jc w:val="left"/>
    </w:pPr>
    <w:rPr>
      <w:i/>
      <w:iCs/>
      <w:szCs w:val="20"/>
    </w:rPr>
  </w:style>
  <w:style w:type="character" w:customStyle="1" w:styleId="TekstChar">
    <w:name w:val="Tekst Char"/>
    <w:link w:val="Tekst"/>
    <w:rsid w:val="002A4FAD"/>
    <w:rPr>
      <w:rFonts w:ascii="Palatino Linotype" w:eastAsia="Times New Roman" w:hAnsi="Palatino Linotype"/>
      <w:sz w:val="22"/>
      <w:szCs w:val="22"/>
    </w:rPr>
  </w:style>
  <w:style w:type="character" w:customStyle="1" w:styleId="Heading1Char">
    <w:name w:val="Heading 1 Char"/>
    <w:link w:val="Heading1"/>
    <w:uiPriority w:val="99"/>
    <w:rsid w:val="000D2C3F"/>
    <w:rPr>
      <w:rFonts w:cs="Arial"/>
      <w:b/>
      <w:bCs/>
      <w:kern w:val="32"/>
      <w:sz w:val="32"/>
      <w:szCs w:val="32"/>
      <w:lang w:val="hr-HR" w:eastAsia="ja-JP"/>
    </w:rPr>
  </w:style>
  <w:style w:type="character" w:customStyle="1" w:styleId="Heading2Char">
    <w:name w:val="Heading 2 Char"/>
    <w:link w:val="Heading2"/>
    <w:uiPriority w:val="99"/>
    <w:rsid w:val="004E199F"/>
    <w:rPr>
      <w:rFonts w:ascii="Times New Roman Bold" w:hAnsi="Times New Roman Bold" w:cs="Arial"/>
      <w:b/>
      <w:bCs/>
      <w:iCs/>
      <w:sz w:val="28"/>
      <w:szCs w:val="28"/>
      <w:lang w:val="hr-HR" w:eastAsia="ja-JP"/>
    </w:rPr>
  </w:style>
  <w:style w:type="character" w:customStyle="1" w:styleId="Heading3Char">
    <w:name w:val="Heading 3 Char"/>
    <w:link w:val="Heading3"/>
    <w:uiPriority w:val="99"/>
    <w:rsid w:val="00180D47"/>
    <w:rPr>
      <w:rFonts w:ascii="Times New Roman Bold" w:hAnsi="Times New Roman Bold" w:cs="Arial"/>
      <w:b/>
      <w:bCs/>
      <w:sz w:val="28"/>
      <w:szCs w:val="26"/>
      <w:lang w:val="hr-HR" w:eastAsia="ja-JP"/>
    </w:rPr>
  </w:style>
  <w:style w:type="numbering" w:customStyle="1" w:styleId="NoList1">
    <w:name w:val="No List1"/>
    <w:next w:val="NoList"/>
    <w:uiPriority w:val="99"/>
    <w:semiHidden/>
    <w:unhideWhenUsed/>
    <w:rsid w:val="00E47554"/>
  </w:style>
  <w:style w:type="paragraph" w:customStyle="1" w:styleId="ListParagraph1">
    <w:name w:val="List Paragraph1"/>
    <w:basedOn w:val="Normal"/>
    <w:uiPriority w:val="99"/>
    <w:qFormat/>
    <w:rsid w:val="00E47554"/>
    <w:pPr>
      <w:ind w:left="720"/>
      <w:contextualSpacing/>
    </w:pPr>
  </w:style>
  <w:style w:type="paragraph" w:customStyle="1" w:styleId="t-98-2">
    <w:name w:val="t-98-2"/>
    <w:basedOn w:val="Normal"/>
    <w:uiPriority w:val="99"/>
    <w:rsid w:val="00E47554"/>
    <w:pPr>
      <w:spacing w:before="100" w:beforeAutospacing="1" w:after="100" w:afterAutospacing="1"/>
      <w:jc w:val="left"/>
    </w:pPr>
    <w:rPr>
      <w:lang w:eastAsia="hr-HR"/>
    </w:rPr>
  </w:style>
  <w:style w:type="character" w:customStyle="1" w:styleId="kurziv1">
    <w:name w:val="kurziv1"/>
    <w:uiPriority w:val="99"/>
    <w:rsid w:val="00E47554"/>
    <w:rPr>
      <w:i/>
    </w:rPr>
  </w:style>
  <w:style w:type="paragraph" w:styleId="PlainText">
    <w:name w:val="Plain Text"/>
    <w:basedOn w:val="Normal"/>
    <w:link w:val="PlainTextChar"/>
    <w:uiPriority w:val="99"/>
    <w:rsid w:val="00E47554"/>
    <w:pPr>
      <w:jc w:val="left"/>
    </w:pPr>
    <w:rPr>
      <w:rFonts w:ascii="Courier New" w:hAnsi="Courier New"/>
      <w:sz w:val="20"/>
      <w:szCs w:val="20"/>
      <w:lang w:eastAsia="hr-HR"/>
    </w:rPr>
  </w:style>
  <w:style w:type="character" w:customStyle="1" w:styleId="PlainTextChar">
    <w:name w:val="Plain Text Char"/>
    <w:link w:val="PlainText"/>
    <w:uiPriority w:val="99"/>
    <w:rsid w:val="00E47554"/>
    <w:rPr>
      <w:rFonts w:ascii="Courier New" w:hAnsi="Courier New"/>
    </w:rPr>
  </w:style>
  <w:style w:type="paragraph" w:customStyle="1" w:styleId="T-98-20">
    <w:name w:val="T-9/8-2"/>
    <w:basedOn w:val="Normal"/>
    <w:uiPriority w:val="99"/>
    <w:rsid w:val="00E47554"/>
    <w:pPr>
      <w:widowControl w:val="0"/>
      <w:tabs>
        <w:tab w:val="left" w:pos="2153"/>
      </w:tabs>
      <w:autoSpaceDE w:val="0"/>
      <w:autoSpaceDN w:val="0"/>
      <w:adjustRightInd w:val="0"/>
      <w:spacing w:after="43"/>
      <w:ind w:firstLine="342"/>
    </w:pPr>
    <w:rPr>
      <w:rFonts w:ascii="Times-NewRoman" w:hAnsi="Times-NewRoman"/>
      <w:sz w:val="19"/>
      <w:szCs w:val="19"/>
      <w:lang w:eastAsia="hr-HR"/>
    </w:rPr>
  </w:style>
  <w:style w:type="paragraph" w:styleId="NormalWeb">
    <w:name w:val="Normal (Web)"/>
    <w:aliases w:val="Normal (Web) Char,Normal (Web) Char Char Char Char,Normal (Web) Char Char Char"/>
    <w:basedOn w:val="Normal"/>
    <w:link w:val="NormalWebChar1"/>
    <w:uiPriority w:val="99"/>
    <w:qFormat/>
    <w:rsid w:val="00E47554"/>
    <w:pPr>
      <w:spacing w:before="100" w:beforeAutospacing="1" w:after="100" w:afterAutospacing="1"/>
      <w:jc w:val="left"/>
    </w:pPr>
    <w:rPr>
      <w:lang w:eastAsia="hr-HR"/>
    </w:rPr>
  </w:style>
  <w:style w:type="character" w:styleId="Strong">
    <w:name w:val="Strong"/>
    <w:uiPriority w:val="22"/>
    <w:qFormat/>
    <w:rsid w:val="00E47554"/>
    <w:rPr>
      <w:rFonts w:cs="Times New Roman"/>
      <w:b/>
    </w:rPr>
  </w:style>
  <w:style w:type="table" w:customStyle="1" w:styleId="TableGrid1">
    <w:name w:val="Table Grid1"/>
    <w:uiPriority w:val="59"/>
    <w:rsid w:val="00E47554"/>
    <w:rPr>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Char1,Footnote Char,Footnote Char Char Char Char,Footnote Char Char Char1,Footnote Char Char1, Footnote,Footnote Char Char Char,Footnote,Footnote Text1,Geneva 9,Font: Geneva 9,Boston 10,f,f Char Char,Geneva 9 Char,Boston 10 Char"/>
    <w:basedOn w:val="Normal"/>
    <w:link w:val="FootnoteTextChar1"/>
    <w:uiPriority w:val="99"/>
    <w:qFormat/>
    <w:rsid w:val="00E47554"/>
    <w:rPr>
      <w:sz w:val="20"/>
      <w:szCs w:val="20"/>
    </w:rPr>
  </w:style>
  <w:style w:type="character" w:customStyle="1" w:styleId="FootnoteTextChar">
    <w:name w:val="Footnote Text Char"/>
    <w:aliases w:val="Footnote Text Char1 Char,Geneva 9 Char1,Font: Geneva 9 Char,Boston 10 Char1,f Char,f Char Char Char,Geneva 9 Char Char,Sprotna opomba-besedilo Char,Char Char Char Char Char,Char Char Char Char1,Sprotna opomba - besedilo Znak1 Char"/>
    <w:uiPriority w:val="99"/>
    <w:qFormat/>
    <w:rsid w:val="00E47554"/>
    <w:rPr>
      <w:rFonts w:ascii="Arial" w:hAnsi="Arial"/>
      <w:lang w:eastAsia="ja-JP"/>
    </w:rPr>
  </w:style>
  <w:style w:type="character" w:customStyle="1" w:styleId="FootnoteTextChar1">
    <w:name w:val="Footnote Text Char1"/>
    <w:aliases w:val="Footnote Char1 Char,Footnote Char Char,Footnote Char Char Char Char Char,Footnote Char Char Char1 Char,Footnote Char Char1 Char, Footnote Char,Footnote Char Char Char Char1,Footnote Char2,Footnote Text1 Char,Geneva 9 Char2,f Char1"/>
    <w:link w:val="FootnoteText"/>
    <w:uiPriority w:val="99"/>
    <w:locked/>
    <w:rsid w:val="00E47554"/>
    <w:rPr>
      <w:rFonts w:ascii="Arial" w:hAnsi="Arial"/>
      <w:lang w:eastAsia="ja-JP"/>
    </w:rPr>
  </w:style>
  <w:style w:type="character" w:styleId="FootnoteReference">
    <w:name w:val="footnote reference"/>
    <w:aliases w:val="number,SUPERS,Footnote Reference Superscript,stylish,Footnote symbol,16 Point,Superscript 6 Point,-E Fußnotenzeichen,Footnote reference number,note TESI,ftref,-E Fußnotenzeichen1,-E Fußnotenzeichen2,-E Fußnotenzeichen3,Fussnota"/>
    <w:uiPriority w:val="99"/>
    <w:qFormat/>
    <w:rsid w:val="00E47554"/>
    <w:rPr>
      <w:rFonts w:cs="Times New Roman"/>
      <w:vertAlign w:val="superscript"/>
    </w:rPr>
  </w:style>
  <w:style w:type="paragraph" w:customStyle="1" w:styleId="TABLICAChar">
    <w:name w:val="TABLICA Char"/>
    <w:basedOn w:val="Normal"/>
    <w:link w:val="TABLICACharChar1"/>
    <w:uiPriority w:val="99"/>
    <w:rsid w:val="00E47554"/>
    <w:pPr>
      <w:jc w:val="left"/>
      <w:outlineLvl w:val="6"/>
    </w:pPr>
    <w:rPr>
      <w:i/>
      <w:szCs w:val="20"/>
      <w:lang w:val="en-GB" w:eastAsia="en-US"/>
    </w:rPr>
  </w:style>
  <w:style w:type="character" w:customStyle="1" w:styleId="TABLICACharChar1">
    <w:name w:val="TABLICA Char Char1"/>
    <w:link w:val="TABLICAChar"/>
    <w:uiPriority w:val="99"/>
    <w:locked/>
    <w:rsid w:val="00E47554"/>
    <w:rPr>
      <w:rFonts w:ascii="Arial" w:hAnsi="Arial"/>
      <w:i/>
      <w:sz w:val="22"/>
      <w:lang w:val="en-GB" w:eastAsia="en-US"/>
    </w:rPr>
  </w:style>
  <w:style w:type="character" w:customStyle="1" w:styleId="paragrafpalatinoivana">
    <w:name w:val="paragraf palatino ivana"/>
    <w:uiPriority w:val="99"/>
    <w:rsid w:val="00E47554"/>
    <w:rPr>
      <w:rFonts w:ascii="Palatino Linotype" w:hAnsi="Palatino Linotype"/>
      <w:sz w:val="20"/>
    </w:rPr>
  </w:style>
  <w:style w:type="paragraph" w:customStyle="1" w:styleId="IPAHeading2TextChar">
    <w:name w:val="IPA Heading 2 Text Char"/>
    <w:basedOn w:val="Normal"/>
    <w:link w:val="IPAHeading2TextCharChar"/>
    <w:uiPriority w:val="99"/>
    <w:rsid w:val="00E47554"/>
    <w:pPr>
      <w:ind w:left="1134"/>
    </w:pPr>
    <w:rPr>
      <w:szCs w:val="22"/>
      <w:lang w:val="en-GB" w:eastAsia="en-GB"/>
    </w:rPr>
  </w:style>
  <w:style w:type="character" w:customStyle="1" w:styleId="IPAHeading2TextCharChar">
    <w:name w:val="IPA Heading 2 Text Char Char"/>
    <w:link w:val="IPAHeading2TextChar"/>
    <w:uiPriority w:val="99"/>
    <w:locked/>
    <w:rsid w:val="00E47554"/>
    <w:rPr>
      <w:rFonts w:ascii="Arial" w:hAnsi="Arial"/>
      <w:sz w:val="22"/>
      <w:szCs w:val="22"/>
      <w:lang w:val="en-GB" w:eastAsia="en-GB"/>
    </w:rPr>
  </w:style>
  <w:style w:type="character" w:styleId="Emphasis">
    <w:name w:val="Emphasis"/>
    <w:uiPriority w:val="20"/>
    <w:qFormat/>
    <w:rsid w:val="00E47554"/>
    <w:rPr>
      <w:rFonts w:cs="Times New Roman"/>
      <w:i/>
    </w:rPr>
  </w:style>
  <w:style w:type="character" w:customStyle="1" w:styleId="bold1">
    <w:name w:val="bold1"/>
    <w:uiPriority w:val="99"/>
    <w:rsid w:val="00E47554"/>
    <w:rPr>
      <w:b/>
    </w:rPr>
  </w:style>
  <w:style w:type="paragraph" w:customStyle="1" w:styleId="t-9-8-bez-uvl">
    <w:name w:val="t-9-8-bez-uvl"/>
    <w:basedOn w:val="Normal"/>
    <w:uiPriority w:val="99"/>
    <w:rsid w:val="00E47554"/>
    <w:pPr>
      <w:spacing w:before="100" w:beforeAutospacing="1" w:after="100" w:afterAutospacing="1"/>
      <w:jc w:val="left"/>
    </w:pPr>
    <w:rPr>
      <w:lang w:eastAsia="hr-HR"/>
    </w:rPr>
  </w:style>
  <w:style w:type="paragraph" w:customStyle="1" w:styleId="Default">
    <w:name w:val="Default"/>
    <w:rsid w:val="00E47554"/>
    <w:pPr>
      <w:autoSpaceDE w:val="0"/>
      <w:autoSpaceDN w:val="0"/>
      <w:adjustRightInd w:val="0"/>
    </w:pPr>
    <w:rPr>
      <w:rFonts w:ascii="Palatino Linotype" w:hAnsi="Palatino Linotype" w:cs="Palatino Linotype"/>
      <w:color w:val="000000"/>
      <w:sz w:val="24"/>
      <w:szCs w:val="24"/>
      <w:lang w:val="hr-HR" w:eastAsia="hr-HR"/>
    </w:rPr>
  </w:style>
  <w:style w:type="character" w:customStyle="1" w:styleId="spelle">
    <w:name w:val="spelle"/>
    <w:uiPriority w:val="99"/>
    <w:rsid w:val="00E47554"/>
  </w:style>
  <w:style w:type="paragraph" w:customStyle="1" w:styleId="t-98bezuvl">
    <w:name w:val="t-98bezuvl"/>
    <w:basedOn w:val="Normal"/>
    <w:uiPriority w:val="99"/>
    <w:rsid w:val="00E47554"/>
    <w:pPr>
      <w:spacing w:before="100" w:beforeAutospacing="1" w:after="100" w:afterAutospacing="1"/>
      <w:jc w:val="left"/>
    </w:pPr>
    <w:rPr>
      <w:lang w:eastAsia="hr-HR"/>
    </w:rPr>
  </w:style>
  <w:style w:type="paragraph" w:styleId="BodyText">
    <w:name w:val="Body Text"/>
    <w:aliases w:val="uvlaka 2,uvlaka 3,Tijelo teksta1,uvlaka 21,Tijelo teksta11,uvlaka 211,Tijelo teksta111,uvlaka 2111,Tijelo teksta1111,uvlaka 21111,Tijelo teksta11111,uvlaka 211111,Tijelo teksta111111,uvlaka 2111111,uvlaka 21111111"/>
    <w:basedOn w:val="Normal"/>
    <w:link w:val="BodyTextChar"/>
    <w:uiPriority w:val="99"/>
    <w:rsid w:val="00E47554"/>
    <w:pPr>
      <w:ind w:left="720"/>
    </w:pPr>
    <w:rPr>
      <w:lang w:val="pl-PL" w:eastAsia="hr-HR"/>
    </w:rPr>
  </w:style>
  <w:style w:type="character" w:customStyle="1" w:styleId="BodyTextChar">
    <w:name w:val="Body Text Char"/>
    <w:aliases w:val="uvlaka 2 Char,uvlaka 3 Char,Tijelo teksta1 Char,uvlaka 21 Char,Tijelo teksta11 Char,uvlaka 211 Char,Tijelo teksta111 Char,uvlaka 2111 Char,Tijelo teksta1111 Char,uvlaka 21111 Char,Tijelo teksta11111 Char,uvlaka 211111 Char"/>
    <w:link w:val="BodyText"/>
    <w:uiPriority w:val="99"/>
    <w:rsid w:val="00E47554"/>
    <w:rPr>
      <w:sz w:val="24"/>
      <w:szCs w:val="24"/>
      <w:lang w:val="pl-PL"/>
    </w:rPr>
  </w:style>
  <w:style w:type="character" w:styleId="CommentReference">
    <w:name w:val="annotation reference"/>
    <w:uiPriority w:val="99"/>
    <w:semiHidden/>
    <w:rsid w:val="00E47554"/>
    <w:rPr>
      <w:rFonts w:cs="Times New Roman"/>
      <w:sz w:val="16"/>
    </w:rPr>
  </w:style>
  <w:style w:type="paragraph" w:styleId="CommentText">
    <w:name w:val="annotation text"/>
    <w:basedOn w:val="Normal"/>
    <w:link w:val="CommentTextChar"/>
    <w:uiPriority w:val="99"/>
    <w:semiHidden/>
    <w:rsid w:val="00E47554"/>
    <w:rPr>
      <w:sz w:val="20"/>
      <w:szCs w:val="20"/>
    </w:rPr>
  </w:style>
  <w:style w:type="character" w:customStyle="1" w:styleId="CommentTextChar">
    <w:name w:val="Comment Text Char"/>
    <w:link w:val="CommentText"/>
    <w:uiPriority w:val="99"/>
    <w:semiHidden/>
    <w:rsid w:val="00E47554"/>
    <w:rPr>
      <w:rFonts w:ascii="Arial" w:hAnsi="Arial"/>
      <w:lang w:eastAsia="ja-JP"/>
    </w:rPr>
  </w:style>
  <w:style w:type="table" w:customStyle="1" w:styleId="TableGrid2">
    <w:name w:val="Table Grid2"/>
    <w:uiPriority w:val="99"/>
    <w:rsid w:val="00E47554"/>
    <w:rPr>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47554"/>
    <w:rPr>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E47554"/>
    <w:rPr>
      <w:rFonts w:ascii="Calibri" w:hAnsi="Calibri"/>
      <w:sz w:val="22"/>
      <w:szCs w:val="22"/>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47554"/>
    <w:rPr>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E47554"/>
    <w:rPr>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E47554"/>
    <w:rPr>
      <w:b/>
      <w:bCs/>
    </w:rPr>
  </w:style>
  <w:style w:type="character" w:customStyle="1" w:styleId="CommentSubjectChar">
    <w:name w:val="Comment Subject Char"/>
    <w:link w:val="CommentSubject"/>
    <w:uiPriority w:val="99"/>
    <w:semiHidden/>
    <w:rsid w:val="00E47554"/>
    <w:rPr>
      <w:rFonts w:ascii="Arial" w:hAnsi="Arial"/>
      <w:b/>
      <w:bCs/>
      <w:lang w:eastAsia="ja-JP"/>
    </w:rPr>
  </w:style>
  <w:style w:type="table" w:customStyle="1" w:styleId="TableGrid7">
    <w:name w:val="Table Grid7"/>
    <w:uiPriority w:val="99"/>
    <w:locked/>
    <w:rsid w:val="00E47554"/>
    <w:rPr>
      <w:rFonts w:ascii="Calibri" w:hAnsi="Calibri"/>
      <w:sz w:val="22"/>
      <w:szCs w:val="22"/>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uiPriority w:val="99"/>
    <w:rsid w:val="00E47554"/>
  </w:style>
  <w:style w:type="character" w:customStyle="1" w:styleId="StylePalatinoLinotype10pt1">
    <w:name w:val="Style Palatino Linotype 10 pt1"/>
    <w:uiPriority w:val="99"/>
    <w:rsid w:val="00E47554"/>
    <w:rPr>
      <w:rFonts w:ascii="Palatino Linotype" w:hAnsi="Palatino Linotype"/>
      <w:sz w:val="20"/>
    </w:rPr>
  </w:style>
  <w:style w:type="character" w:customStyle="1" w:styleId="dolestoje-a">
    <w:name w:val="dolestoje-a"/>
    <w:rsid w:val="00E47554"/>
  </w:style>
  <w:style w:type="paragraph" w:customStyle="1" w:styleId="clanak-">
    <w:name w:val="clanak-"/>
    <w:basedOn w:val="Normal"/>
    <w:rsid w:val="00E47554"/>
    <w:pPr>
      <w:spacing w:before="100" w:beforeAutospacing="1" w:after="100" w:afterAutospacing="1"/>
      <w:jc w:val="center"/>
    </w:pPr>
    <w:rPr>
      <w:rFonts w:eastAsia="Times New Roman"/>
      <w:lang w:eastAsia="hr-HR"/>
    </w:rPr>
  </w:style>
  <w:style w:type="paragraph" w:customStyle="1" w:styleId="t-10-9-kurz-s-fett">
    <w:name w:val="t-10-9-kurz-s-fett"/>
    <w:basedOn w:val="Normal"/>
    <w:rsid w:val="00E47554"/>
    <w:pPr>
      <w:spacing w:before="100" w:beforeAutospacing="1" w:after="100" w:afterAutospacing="1"/>
      <w:jc w:val="center"/>
    </w:pPr>
    <w:rPr>
      <w:rFonts w:eastAsia="Times New Roman"/>
      <w:b/>
      <w:bCs/>
      <w:i/>
      <w:iCs/>
      <w:sz w:val="26"/>
      <w:szCs w:val="26"/>
      <w:lang w:eastAsia="hr-HR"/>
    </w:rPr>
  </w:style>
  <w:style w:type="character" w:customStyle="1" w:styleId="sub">
    <w:name w:val="sub"/>
    <w:rsid w:val="00E47554"/>
  </w:style>
  <w:style w:type="character" w:customStyle="1" w:styleId="apple-converted-space">
    <w:name w:val="apple-converted-space"/>
    <w:basedOn w:val="DefaultParagraphFont"/>
    <w:rsid w:val="00E47554"/>
  </w:style>
  <w:style w:type="character" w:styleId="FollowedHyperlink">
    <w:name w:val="FollowedHyperlink"/>
    <w:uiPriority w:val="99"/>
    <w:semiHidden/>
    <w:unhideWhenUsed/>
    <w:rsid w:val="00E47554"/>
    <w:rPr>
      <w:color w:val="800080"/>
      <w:u w:val="single"/>
    </w:rPr>
  </w:style>
  <w:style w:type="table" w:customStyle="1" w:styleId="TableGrid8">
    <w:name w:val="Table Grid8"/>
    <w:basedOn w:val="TableNormal"/>
    <w:next w:val="TableGrid"/>
    <w:uiPriority w:val="39"/>
    <w:rsid w:val="00A068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E45A66"/>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9">
    <w:name w:val="Table Grid9"/>
    <w:basedOn w:val="TableNormal"/>
    <w:next w:val="TableGrid"/>
    <w:uiPriority w:val="59"/>
    <w:rsid w:val="009F377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pedudocument">
    <w:name w:val="Type du document"/>
    <w:basedOn w:val="Normal"/>
    <w:next w:val="Normal"/>
    <w:rsid w:val="001A1C10"/>
    <w:pPr>
      <w:spacing w:before="360"/>
      <w:jc w:val="center"/>
    </w:pPr>
    <w:rPr>
      <w:rFonts w:eastAsia="Times New Roman"/>
      <w:b/>
      <w:szCs w:val="20"/>
      <w:lang w:val="en-GB" w:eastAsia="en-GB"/>
    </w:rPr>
  </w:style>
  <w:style w:type="table" w:customStyle="1" w:styleId="TableGrid10">
    <w:name w:val="Table Grid10"/>
    <w:basedOn w:val="TableNormal"/>
    <w:next w:val="TableGrid"/>
    <w:uiPriority w:val="59"/>
    <w:rsid w:val="001A1C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E2C4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TableofFigures"/>
    <w:link w:val="TablicaChar0"/>
    <w:qFormat/>
    <w:rsid w:val="00666DF5"/>
    <w:pPr>
      <w:jc w:val="center"/>
    </w:pPr>
    <w:rPr>
      <w:rFonts w:ascii="Palatino Linotype" w:eastAsia="Times New Roman" w:hAnsi="Palatino Linotype"/>
      <w:i w:val="0"/>
      <w:lang w:eastAsia="hr-HR"/>
    </w:rPr>
  </w:style>
  <w:style w:type="character" w:customStyle="1" w:styleId="TablicaChar0">
    <w:name w:val="Tablica Char"/>
    <w:link w:val="Tablica"/>
    <w:rsid w:val="00067F46"/>
    <w:rPr>
      <w:rFonts w:ascii="Palatino Linotype" w:eastAsia="Times New Roman" w:hAnsi="Palatino Linotype" w:cs="Arial"/>
      <w:i/>
      <w:noProof/>
      <w:lang w:val="hr-HR" w:eastAsia="hr-HR"/>
    </w:rPr>
  </w:style>
  <w:style w:type="paragraph" w:styleId="Bibliography">
    <w:name w:val="Bibliography"/>
    <w:basedOn w:val="Normal"/>
    <w:next w:val="Normal"/>
    <w:uiPriority w:val="37"/>
    <w:unhideWhenUsed/>
    <w:rsid w:val="0076103B"/>
  </w:style>
  <w:style w:type="paragraph" w:customStyle="1" w:styleId="NASLOV12Char">
    <w:name w:val="NASLOV 12 Char"/>
    <w:basedOn w:val="Normal"/>
    <w:next w:val="Normal"/>
    <w:uiPriority w:val="99"/>
    <w:rsid w:val="00167669"/>
    <w:pPr>
      <w:numPr>
        <w:ilvl w:val="1"/>
        <w:numId w:val="1"/>
      </w:numPr>
      <w:tabs>
        <w:tab w:val="left" w:pos="284"/>
      </w:tabs>
      <w:ind w:left="0" w:firstLine="0"/>
      <w:outlineLvl w:val="1"/>
    </w:pPr>
    <w:rPr>
      <w:b/>
      <w:caps/>
      <w:szCs w:val="20"/>
      <w:lang w:val="en-GB" w:eastAsia="hr-HR"/>
    </w:rPr>
  </w:style>
  <w:style w:type="paragraph" w:styleId="TableofAuthorities">
    <w:name w:val="table of authorities"/>
    <w:basedOn w:val="Normal"/>
    <w:next w:val="Normal"/>
    <w:uiPriority w:val="99"/>
    <w:rsid w:val="00167669"/>
    <w:pPr>
      <w:numPr>
        <w:ilvl w:val="3"/>
        <w:numId w:val="1"/>
      </w:numPr>
      <w:ind w:left="220" w:hanging="220"/>
      <w:jc w:val="left"/>
    </w:pPr>
    <w:rPr>
      <w:szCs w:val="20"/>
      <w:lang w:val="en-GB" w:eastAsia="hr-HR"/>
    </w:rPr>
  </w:style>
  <w:style w:type="paragraph" w:customStyle="1" w:styleId="CM4">
    <w:name w:val="CM4"/>
    <w:basedOn w:val="Default"/>
    <w:next w:val="Default"/>
    <w:uiPriority w:val="99"/>
    <w:rsid w:val="00167669"/>
    <w:rPr>
      <w:rFonts w:ascii="EUAlbertina" w:eastAsia="Calibri" w:hAnsi="EUAlbertina" w:cs="Times New Roman"/>
      <w:color w:val="auto"/>
      <w:lang w:eastAsia="en-US"/>
    </w:rPr>
  </w:style>
  <w:style w:type="character" w:customStyle="1" w:styleId="st">
    <w:name w:val="st"/>
    <w:basedOn w:val="DefaultParagraphFont"/>
    <w:rsid w:val="002100C0"/>
  </w:style>
  <w:style w:type="table" w:customStyle="1" w:styleId="TableGrid12">
    <w:name w:val="Table Grid12"/>
    <w:basedOn w:val="TableNormal"/>
    <w:next w:val="TableGrid"/>
    <w:uiPriority w:val="59"/>
    <w:rsid w:val="00C63B4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755D2"/>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332325"/>
    <w:pPr>
      <w:spacing w:after="200"/>
    </w:pPr>
    <w:rPr>
      <w:b/>
      <w:bCs/>
      <w:color w:val="4F81BD" w:themeColor="accent1"/>
      <w:sz w:val="18"/>
      <w:szCs w:val="18"/>
    </w:rPr>
  </w:style>
  <w:style w:type="paragraph" w:styleId="Revision">
    <w:name w:val="Revision"/>
    <w:hidden/>
    <w:uiPriority w:val="99"/>
    <w:semiHidden/>
    <w:rsid w:val="005873D7"/>
    <w:rPr>
      <w:rFonts w:ascii="Arial" w:hAnsi="Arial"/>
      <w:sz w:val="22"/>
      <w:szCs w:val="24"/>
      <w:lang w:val="hr-HR" w:eastAsia="ja-JP"/>
    </w:rPr>
  </w:style>
  <w:style w:type="table" w:customStyle="1" w:styleId="TableGrid131">
    <w:name w:val="Table Grid131"/>
    <w:basedOn w:val="TableNormal"/>
    <w:next w:val="TableGrid"/>
    <w:uiPriority w:val="59"/>
    <w:rsid w:val="00A51D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NO">
    <w:name w:val="CRNO"/>
    <w:basedOn w:val="Normal"/>
    <w:uiPriority w:val="99"/>
    <w:rsid w:val="001E7526"/>
    <w:pPr>
      <w:spacing w:after="160" w:line="288" w:lineRule="auto"/>
    </w:pPr>
    <w:rPr>
      <w:rFonts w:cs="Calibri"/>
      <w:szCs w:val="22"/>
      <w:lang w:eastAsia="en-US"/>
    </w:rPr>
  </w:style>
  <w:style w:type="table" w:customStyle="1" w:styleId="Izvjescetablica1">
    <w:name w:val="Izvjescetablica1"/>
    <w:basedOn w:val="TableNormal"/>
    <w:next w:val="TableGrid"/>
    <w:uiPriority w:val="59"/>
    <w:rsid w:val="003A36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zvjescetablica2">
    <w:name w:val="Izvjescetablica2"/>
    <w:basedOn w:val="TableNormal"/>
    <w:next w:val="TableGrid"/>
    <w:uiPriority w:val="59"/>
    <w:rsid w:val="003A36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F7BB9"/>
    <w:pPr>
      <w:ind w:left="720"/>
      <w:jc w:val="left"/>
    </w:pPr>
    <w:rPr>
      <w:rFonts w:asciiTheme="minorHAnsi" w:hAnsiTheme="minorHAnsi"/>
      <w:sz w:val="20"/>
      <w:szCs w:val="20"/>
    </w:rPr>
  </w:style>
  <w:style w:type="paragraph" w:styleId="TOC5">
    <w:name w:val="toc 5"/>
    <w:basedOn w:val="Normal"/>
    <w:next w:val="Normal"/>
    <w:autoRedefine/>
    <w:uiPriority w:val="39"/>
    <w:unhideWhenUsed/>
    <w:rsid w:val="005F7BB9"/>
    <w:pPr>
      <w:ind w:left="960"/>
      <w:jc w:val="left"/>
    </w:pPr>
    <w:rPr>
      <w:rFonts w:asciiTheme="minorHAnsi" w:hAnsiTheme="minorHAnsi"/>
      <w:sz w:val="20"/>
      <w:szCs w:val="20"/>
    </w:rPr>
  </w:style>
  <w:style w:type="paragraph" w:styleId="TOC6">
    <w:name w:val="toc 6"/>
    <w:basedOn w:val="Normal"/>
    <w:next w:val="Normal"/>
    <w:autoRedefine/>
    <w:uiPriority w:val="39"/>
    <w:unhideWhenUsed/>
    <w:rsid w:val="005F7BB9"/>
    <w:pPr>
      <w:ind w:left="1200"/>
      <w:jc w:val="left"/>
    </w:pPr>
    <w:rPr>
      <w:rFonts w:asciiTheme="minorHAnsi" w:hAnsiTheme="minorHAnsi"/>
      <w:sz w:val="20"/>
      <w:szCs w:val="20"/>
    </w:rPr>
  </w:style>
  <w:style w:type="paragraph" w:styleId="TOC7">
    <w:name w:val="toc 7"/>
    <w:basedOn w:val="Normal"/>
    <w:next w:val="Normal"/>
    <w:autoRedefine/>
    <w:uiPriority w:val="39"/>
    <w:unhideWhenUsed/>
    <w:rsid w:val="005F7BB9"/>
    <w:pPr>
      <w:ind w:left="1440"/>
      <w:jc w:val="left"/>
    </w:pPr>
    <w:rPr>
      <w:rFonts w:asciiTheme="minorHAnsi" w:hAnsiTheme="minorHAnsi"/>
      <w:sz w:val="20"/>
      <w:szCs w:val="20"/>
    </w:rPr>
  </w:style>
  <w:style w:type="paragraph" w:styleId="TOC8">
    <w:name w:val="toc 8"/>
    <w:basedOn w:val="Normal"/>
    <w:next w:val="Normal"/>
    <w:autoRedefine/>
    <w:uiPriority w:val="39"/>
    <w:unhideWhenUsed/>
    <w:rsid w:val="005F7BB9"/>
    <w:pPr>
      <w:ind w:left="1680"/>
      <w:jc w:val="left"/>
    </w:pPr>
    <w:rPr>
      <w:rFonts w:asciiTheme="minorHAnsi" w:hAnsiTheme="minorHAnsi"/>
      <w:sz w:val="20"/>
      <w:szCs w:val="20"/>
    </w:rPr>
  </w:style>
  <w:style w:type="paragraph" w:styleId="TOC9">
    <w:name w:val="toc 9"/>
    <w:basedOn w:val="Normal"/>
    <w:next w:val="Normal"/>
    <w:autoRedefine/>
    <w:uiPriority w:val="39"/>
    <w:unhideWhenUsed/>
    <w:rsid w:val="005F7BB9"/>
    <w:pPr>
      <w:ind w:left="1920"/>
      <w:jc w:val="left"/>
    </w:pPr>
    <w:rPr>
      <w:rFonts w:asciiTheme="minorHAnsi" w:hAnsiTheme="minorHAnsi"/>
      <w:sz w:val="20"/>
      <w:szCs w:val="20"/>
    </w:rPr>
  </w:style>
  <w:style w:type="character" w:customStyle="1" w:styleId="CaptionChar">
    <w:name w:val="Caption Char"/>
    <w:basedOn w:val="DefaultParagraphFont"/>
    <w:link w:val="Caption"/>
    <w:uiPriority w:val="99"/>
    <w:rsid w:val="00A57DFB"/>
    <w:rPr>
      <w:rFonts w:ascii="Arial" w:hAnsi="Arial"/>
      <w:b/>
      <w:bCs/>
      <w:color w:val="4F81BD" w:themeColor="accent1"/>
      <w:sz w:val="18"/>
      <w:szCs w:val="18"/>
      <w:lang w:val="hr-HR" w:eastAsia="ja-JP"/>
    </w:rPr>
  </w:style>
  <w:style w:type="paragraph" w:styleId="Title">
    <w:name w:val="Title"/>
    <w:basedOn w:val="Normal"/>
    <w:next w:val="Normal"/>
    <w:link w:val="TitleChar"/>
    <w:uiPriority w:val="10"/>
    <w:qFormat/>
    <w:rsid w:val="002614B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4BE"/>
    <w:rPr>
      <w:rFonts w:asciiTheme="majorHAnsi" w:eastAsiaTheme="majorEastAsia" w:hAnsiTheme="majorHAnsi" w:cstheme="majorBidi"/>
      <w:spacing w:val="-10"/>
      <w:kern w:val="28"/>
      <w:sz w:val="56"/>
      <w:szCs w:val="56"/>
      <w:lang w:val="hr-HR" w:eastAsia="ja-JP"/>
    </w:rPr>
  </w:style>
  <w:style w:type="paragraph" w:styleId="TOCHeading">
    <w:name w:val="TOC Heading"/>
    <w:basedOn w:val="Heading1"/>
    <w:next w:val="Normal"/>
    <w:uiPriority w:val="39"/>
    <w:unhideWhenUsed/>
    <w:qFormat/>
    <w:rsid w:val="00B34117"/>
    <w:pPr>
      <w:keepLines/>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lang w:val="en-US" w:eastAsia="en-US"/>
    </w:rPr>
  </w:style>
  <w:style w:type="character" w:styleId="SubtleEmphasis">
    <w:name w:val="Subtle Emphasis"/>
    <w:basedOn w:val="DefaultParagraphFont"/>
    <w:uiPriority w:val="19"/>
    <w:qFormat/>
    <w:rsid w:val="00145653"/>
    <w:rPr>
      <w:i/>
      <w:iCs/>
      <w:color w:val="404040" w:themeColor="text1" w:themeTint="BF"/>
    </w:rPr>
  </w:style>
  <w:style w:type="character" w:customStyle="1" w:styleId="NormalWebChar1">
    <w:name w:val="Normal (Web) Char1"/>
    <w:aliases w:val="Normal (Web) Char Char,Normal (Web) Char Char Char Char Char,Normal (Web) Char Char Char Char1"/>
    <w:basedOn w:val="DefaultParagraphFont"/>
    <w:link w:val="NormalWeb"/>
    <w:uiPriority w:val="99"/>
    <w:locked/>
    <w:rsid w:val="001E16DD"/>
    <w:rPr>
      <w:sz w:val="24"/>
      <w:szCs w:val="24"/>
      <w:lang w:val="hr-HR" w:eastAsia="hr-HR"/>
    </w:rPr>
  </w:style>
  <w:style w:type="character" w:customStyle="1" w:styleId="ListParagraphChar">
    <w:name w:val="List Paragraph Char"/>
    <w:aliases w:val="REPORT Bullet Char,Nabrajanje Char,Tocka Char,KiF bullets Char,UNIZG_ALU_bullet Char,Lettre d'introduction Char,FM Char,Akapit z listą BS Char,Bullet1 Char,References Char,List Paragraph (numbered (a)) Char,List_Paragraph Char"/>
    <w:basedOn w:val="DefaultParagraphFont"/>
    <w:link w:val="ListParagraph"/>
    <w:uiPriority w:val="34"/>
    <w:qFormat/>
    <w:rsid w:val="00B65D95"/>
    <w:rPr>
      <w:sz w:val="24"/>
      <w:szCs w:val="24"/>
      <w:lang w:val="hr-HR" w:eastAsia="ja-JP"/>
    </w:rPr>
  </w:style>
  <w:style w:type="paragraph" w:customStyle="1" w:styleId="Slika">
    <w:name w:val="Slika"/>
    <w:basedOn w:val="Normal"/>
    <w:link w:val="SlikaChar"/>
    <w:qFormat/>
    <w:rsid w:val="00DD5863"/>
    <w:rPr>
      <w:rFonts w:ascii="Palatino Linotype" w:eastAsia="Times New Roman" w:hAnsi="Palatino Linotype"/>
      <w:szCs w:val="20"/>
      <w:lang w:eastAsia="x-none"/>
    </w:rPr>
  </w:style>
  <w:style w:type="character" w:customStyle="1" w:styleId="SlikaChar">
    <w:name w:val="Slika Char"/>
    <w:link w:val="Slika"/>
    <w:rsid w:val="00DD5863"/>
    <w:rPr>
      <w:rFonts w:ascii="Palatino Linotype" w:eastAsia="Times New Roman" w:hAnsi="Palatino Linotype"/>
      <w:sz w:val="24"/>
      <w:lang w:val="hr-HR" w:eastAsia="x-none"/>
    </w:rPr>
  </w:style>
  <w:style w:type="paragraph" w:customStyle="1" w:styleId="Tablicanaslov">
    <w:name w:val="Tablica_naslov"/>
    <w:basedOn w:val="Normal"/>
    <w:qFormat/>
    <w:rsid w:val="00CB63E8"/>
    <w:pPr>
      <w:ind w:left="794" w:hanging="794"/>
    </w:pPr>
    <w:rPr>
      <w:rFonts w:eastAsiaTheme="minorHAnsi" w:cs="Segoe UI"/>
      <w:sz w:val="18"/>
      <w:szCs w:val="18"/>
      <w:lang w:eastAsia="en-US"/>
    </w:rPr>
  </w:style>
  <w:style w:type="paragraph" w:customStyle="1" w:styleId="Naslov3">
    <w:name w:val="Naslov_3"/>
    <w:basedOn w:val="Normal"/>
    <w:link w:val="Naslov3Char"/>
    <w:autoRedefine/>
    <w:qFormat/>
    <w:rsid w:val="00CB63E8"/>
    <w:pPr>
      <w:numPr>
        <w:ilvl w:val="2"/>
      </w:numPr>
      <w:spacing w:before="120"/>
      <w:ind w:left="680" w:hanging="680"/>
      <w:jc w:val="left"/>
      <w:outlineLvl w:val="2"/>
    </w:pPr>
    <w:rPr>
      <w:rFonts w:ascii="Times New Roman Bold" w:eastAsiaTheme="minorHAnsi" w:hAnsi="Times New Roman Bold" w:cstheme="minorBidi"/>
      <w:b/>
      <w:sz w:val="28"/>
    </w:rPr>
  </w:style>
  <w:style w:type="character" w:customStyle="1" w:styleId="Naslov3Char">
    <w:name w:val="Naslov_3 Char"/>
    <w:basedOn w:val="ListParagraphChar"/>
    <w:link w:val="Naslov3"/>
    <w:rsid w:val="00CB63E8"/>
    <w:rPr>
      <w:rFonts w:ascii="Times New Roman Bold" w:eastAsiaTheme="minorHAnsi" w:hAnsi="Times New Roman Bold" w:cstheme="minorBidi"/>
      <w:b/>
      <w:sz w:val="28"/>
      <w:szCs w:val="24"/>
      <w:lang w:val="hr-H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8338">
      <w:bodyDiv w:val="1"/>
      <w:marLeft w:val="0"/>
      <w:marRight w:val="0"/>
      <w:marTop w:val="0"/>
      <w:marBottom w:val="0"/>
      <w:divBdr>
        <w:top w:val="none" w:sz="0" w:space="0" w:color="auto"/>
        <w:left w:val="none" w:sz="0" w:space="0" w:color="auto"/>
        <w:bottom w:val="none" w:sz="0" w:space="0" w:color="auto"/>
        <w:right w:val="none" w:sz="0" w:space="0" w:color="auto"/>
      </w:divBdr>
      <w:divsChild>
        <w:div w:id="375785656">
          <w:marLeft w:val="0"/>
          <w:marRight w:val="0"/>
          <w:marTop w:val="0"/>
          <w:marBottom w:val="0"/>
          <w:divBdr>
            <w:top w:val="none" w:sz="0" w:space="0" w:color="auto"/>
            <w:left w:val="none" w:sz="0" w:space="0" w:color="auto"/>
            <w:bottom w:val="none" w:sz="0" w:space="0" w:color="auto"/>
            <w:right w:val="none" w:sz="0" w:space="0" w:color="auto"/>
          </w:divBdr>
          <w:divsChild>
            <w:div w:id="1416127042">
              <w:marLeft w:val="0"/>
              <w:marRight w:val="0"/>
              <w:marTop w:val="0"/>
              <w:marBottom w:val="0"/>
              <w:divBdr>
                <w:top w:val="none" w:sz="0" w:space="0" w:color="auto"/>
                <w:left w:val="none" w:sz="0" w:space="0" w:color="auto"/>
                <w:bottom w:val="none" w:sz="0" w:space="0" w:color="auto"/>
                <w:right w:val="none" w:sz="0" w:space="0" w:color="auto"/>
              </w:divBdr>
              <w:divsChild>
                <w:div w:id="150682914">
                  <w:marLeft w:val="0"/>
                  <w:marRight w:val="0"/>
                  <w:marTop w:val="0"/>
                  <w:marBottom w:val="450"/>
                  <w:divBdr>
                    <w:top w:val="none" w:sz="0" w:space="0" w:color="auto"/>
                    <w:left w:val="none" w:sz="0" w:space="0" w:color="auto"/>
                    <w:bottom w:val="none" w:sz="0" w:space="0" w:color="auto"/>
                    <w:right w:val="none" w:sz="0" w:space="0" w:color="auto"/>
                  </w:divBdr>
                  <w:divsChild>
                    <w:div w:id="538124294">
                      <w:marLeft w:val="0"/>
                      <w:marRight w:val="0"/>
                      <w:marTop w:val="0"/>
                      <w:marBottom w:val="0"/>
                      <w:divBdr>
                        <w:top w:val="none" w:sz="0" w:space="0" w:color="auto"/>
                        <w:left w:val="none" w:sz="0" w:space="0" w:color="auto"/>
                        <w:bottom w:val="none" w:sz="0" w:space="0" w:color="auto"/>
                        <w:right w:val="none" w:sz="0" w:space="0" w:color="auto"/>
                      </w:divBdr>
                      <w:divsChild>
                        <w:div w:id="123747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57587">
      <w:bodyDiv w:val="1"/>
      <w:marLeft w:val="0"/>
      <w:marRight w:val="0"/>
      <w:marTop w:val="0"/>
      <w:marBottom w:val="0"/>
      <w:divBdr>
        <w:top w:val="none" w:sz="0" w:space="0" w:color="auto"/>
        <w:left w:val="none" w:sz="0" w:space="0" w:color="auto"/>
        <w:bottom w:val="none" w:sz="0" w:space="0" w:color="auto"/>
        <w:right w:val="none" w:sz="0" w:space="0" w:color="auto"/>
      </w:divBdr>
    </w:div>
    <w:div w:id="124584743">
      <w:bodyDiv w:val="1"/>
      <w:marLeft w:val="0"/>
      <w:marRight w:val="0"/>
      <w:marTop w:val="0"/>
      <w:marBottom w:val="0"/>
      <w:divBdr>
        <w:top w:val="none" w:sz="0" w:space="0" w:color="auto"/>
        <w:left w:val="none" w:sz="0" w:space="0" w:color="auto"/>
        <w:bottom w:val="none" w:sz="0" w:space="0" w:color="auto"/>
        <w:right w:val="none" w:sz="0" w:space="0" w:color="auto"/>
      </w:divBdr>
    </w:div>
    <w:div w:id="131677949">
      <w:bodyDiv w:val="1"/>
      <w:marLeft w:val="0"/>
      <w:marRight w:val="0"/>
      <w:marTop w:val="0"/>
      <w:marBottom w:val="0"/>
      <w:divBdr>
        <w:top w:val="none" w:sz="0" w:space="0" w:color="auto"/>
        <w:left w:val="none" w:sz="0" w:space="0" w:color="auto"/>
        <w:bottom w:val="none" w:sz="0" w:space="0" w:color="auto"/>
        <w:right w:val="none" w:sz="0" w:space="0" w:color="auto"/>
      </w:divBdr>
    </w:div>
    <w:div w:id="215162144">
      <w:bodyDiv w:val="1"/>
      <w:marLeft w:val="0"/>
      <w:marRight w:val="0"/>
      <w:marTop w:val="0"/>
      <w:marBottom w:val="0"/>
      <w:divBdr>
        <w:top w:val="none" w:sz="0" w:space="0" w:color="auto"/>
        <w:left w:val="none" w:sz="0" w:space="0" w:color="auto"/>
        <w:bottom w:val="none" w:sz="0" w:space="0" w:color="auto"/>
        <w:right w:val="none" w:sz="0" w:space="0" w:color="auto"/>
      </w:divBdr>
      <w:divsChild>
        <w:div w:id="1654069053">
          <w:marLeft w:val="0"/>
          <w:marRight w:val="0"/>
          <w:marTop w:val="0"/>
          <w:marBottom w:val="0"/>
          <w:divBdr>
            <w:top w:val="none" w:sz="0" w:space="0" w:color="auto"/>
            <w:left w:val="none" w:sz="0" w:space="0" w:color="auto"/>
            <w:bottom w:val="none" w:sz="0" w:space="0" w:color="auto"/>
            <w:right w:val="none" w:sz="0" w:space="0" w:color="auto"/>
          </w:divBdr>
          <w:divsChild>
            <w:div w:id="1227181517">
              <w:marLeft w:val="0"/>
              <w:marRight w:val="0"/>
              <w:marTop w:val="230"/>
              <w:marBottom w:val="346"/>
              <w:divBdr>
                <w:top w:val="none" w:sz="0" w:space="0" w:color="auto"/>
                <w:left w:val="none" w:sz="0" w:space="0" w:color="auto"/>
                <w:bottom w:val="none" w:sz="0" w:space="0" w:color="auto"/>
                <w:right w:val="none" w:sz="0" w:space="0" w:color="auto"/>
              </w:divBdr>
            </w:div>
          </w:divsChild>
        </w:div>
      </w:divsChild>
    </w:div>
    <w:div w:id="263072311">
      <w:bodyDiv w:val="1"/>
      <w:marLeft w:val="0"/>
      <w:marRight w:val="0"/>
      <w:marTop w:val="0"/>
      <w:marBottom w:val="0"/>
      <w:divBdr>
        <w:top w:val="none" w:sz="0" w:space="0" w:color="auto"/>
        <w:left w:val="none" w:sz="0" w:space="0" w:color="auto"/>
        <w:bottom w:val="none" w:sz="0" w:space="0" w:color="auto"/>
        <w:right w:val="none" w:sz="0" w:space="0" w:color="auto"/>
      </w:divBdr>
    </w:div>
    <w:div w:id="323750312">
      <w:bodyDiv w:val="1"/>
      <w:marLeft w:val="0"/>
      <w:marRight w:val="0"/>
      <w:marTop w:val="0"/>
      <w:marBottom w:val="0"/>
      <w:divBdr>
        <w:top w:val="none" w:sz="0" w:space="0" w:color="auto"/>
        <w:left w:val="none" w:sz="0" w:space="0" w:color="auto"/>
        <w:bottom w:val="none" w:sz="0" w:space="0" w:color="auto"/>
        <w:right w:val="none" w:sz="0" w:space="0" w:color="auto"/>
      </w:divBdr>
    </w:div>
    <w:div w:id="418256855">
      <w:bodyDiv w:val="1"/>
      <w:marLeft w:val="0"/>
      <w:marRight w:val="0"/>
      <w:marTop w:val="0"/>
      <w:marBottom w:val="0"/>
      <w:divBdr>
        <w:top w:val="none" w:sz="0" w:space="0" w:color="auto"/>
        <w:left w:val="none" w:sz="0" w:space="0" w:color="auto"/>
        <w:bottom w:val="none" w:sz="0" w:space="0" w:color="auto"/>
        <w:right w:val="none" w:sz="0" w:space="0" w:color="auto"/>
      </w:divBdr>
    </w:div>
    <w:div w:id="429198345">
      <w:bodyDiv w:val="1"/>
      <w:marLeft w:val="0"/>
      <w:marRight w:val="0"/>
      <w:marTop w:val="0"/>
      <w:marBottom w:val="0"/>
      <w:divBdr>
        <w:top w:val="none" w:sz="0" w:space="0" w:color="auto"/>
        <w:left w:val="none" w:sz="0" w:space="0" w:color="auto"/>
        <w:bottom w:val="none" w:sz="0" w:space="0" w:color="auto"/>
        <w:right w:val="none" w:sz="0" w:space="0" w:color="auto"/>
      </w:divBdr>
    </w:div>
    <w:div w:id="437873312">
      <w:bodyDiv w:val="1"/>
      <w:marLeft w:val="0"/>
      <w:marRight w:val="0"/>
      <w:marTop w:val="0"/>
      <w:marBottom w:val="0"/>
      <w:divBdr>
        <w:top w:val="none" w:sz="0" w:space="0" w:color="auto"/>
        <w:left w:val="none" w:sz="0" w:space="0" w:color="auto"/>
        <w:bottom w:val="none" w:sz="0" w:space="0" w:color="auto"/>
        <w:right w:val="none" w:sz="0" w:space="0" w:color="auto"/>
      </w:divBdr>
    </w:div>
    <w:div w:id="476343465">
      <w:bodyDiv w:val="1"/>
      <w:marLeft w:val="0"/>
      <w:marRight w:val="0"/>
      <w:marTop w:val="0"/>
      <w:marBottom w:val="0"/>
      <w:divBdr>
        <w:top w:val="none" w:sz="0" w:space="0" w:color="auto"/>
        <w:left w:val="none" w:sz="0" w:space="0" w:color="auto"/>
        <w:bottom w:val="none" w:sz="0" w:space="0" w:color="auto"/>
        <w:right w:val="none" w:sz="0" w:space="0" w:color="auto"/>
      </w:divBdr>
    </w:div>
    <w:div w:id="515193142">
      <w:bodyDiv w:val="1"/>
      <w:marLeft w:val="0"/>
      <w:marRight w:val="0"/>
      <w:marTop w:val="0"/>
      <w:marBottom w:val="0"/>
      <w:divBdr>
        <w:top w:val="none" w:sz="0" w:space="0" w:color="auto"/>
        <w:left w:val="none" w:sz="0" w:space="0" w:color="auto"/>
        <w:bottom w:val="none" w:sz="0" w:space="0" w:color="auto"/>
        <w:right w:val="none" w:sz="0" w:space="0" w:color="auto"/>
      </w:divBdr>
    </w:div>
    <w:div w:id="548539789">
      <w:bodyDiv w:val="1"/>
      <w:marLeft w:val="0"/>
      <w:marRight w:val="0"/>
      <w:marTop w:val="0"/>
      <w:marBottom w:val="0"/>
      <w:divBdr>
        <w:top w:val="none" w:sz="0" w:space="0" w:color="auto"/>
        <w:left w:val="none" w:sz="0" w:space="0" w:color="auto"/>
        <w:bottom w:val="none" w:sz="0" w:space="0" w:color="auto"/>
        <w:right w:val="none" w:sz="0" w:space="0" w:color="auto"/>
      </w:divBdr>
    </w:div>
    <w:div w:id="552471616">
      <w:bodyDiv w:val="1"/>
      <w:marLeft w:val="0"/>
      <w:marRight w:val="0"/>
      <w:marTop w:val="0"/>
      <w:marBottom w:val="0"/>
      <w:divBdr>
        <w:top w:val="none" w:sz="0" w:space="0" w:color="auto"/>
        <w:left w:val="none" w:sz="0" w:space="0" w:color="auto"/>
        <w:bottom w:val="none" w:sz="0" w:space="0" w:color="auto"/>
        <w:right w:val="none" w:sz="0" w:space="0" w:color="auto"/>
      </w:divBdr>
    </w:div>
    <w:div w:id="736317525">
      <w:bodyDiv w:val="1"/>
      <w:marLeft w:val="0"/>
      <w:marRight w:val="0"/>
      <w:marTop w:val="0"/>
      <w:marBottom w:val="0"/>
      <w:divBdr>
        <w:top w:val="none" w:sz="0" w:space="0" w:color="auto"/>
        <w:left w:val="none" w:sz="0" w:space="0" w:color="auto"/>
        <w:bottom w:val="none" w:sz="0" w:space="0" w:color="auto"/>
        <w:right w:val="none" w:sz="0" w:space="0" w:color="auto"/>
      </w:divBdr>
    </w:div>
    <w:div w:id="743377358">
      <w:bodyDiv w:val="1"/>
      <w:marLeft w:val="0"/>
      <w:marRight w:val="0"/>
      <w:marTop w:val="0"/>
      <w:marBottom w:val="0"/>
      <w:divBdr>
        <w:top w:val="none" w:sz="0" w:space="0" w:color="auto"/>
        <w:left w:val="none" w:sz="0" w:space="0" w:color="auto"/>
        <w:bottom w:val="none" w:sz="0" w:space="0" w:color="auto"/>
        <w:right w:val="none" w:sz="0" w:space="0" w:color="auto"/>
      </w:divBdr>
    </w:div>
    <w:div w:id="767500965">
      <w:bodyDiv w:val="1"/>
      <w:marLeft w:val="0"/>
      <w:marRight w:val="0"/>
      <w:marTop w:val="0"/>
      <w:marBottom w:val="0"/>
      <w:divBdr>
        <w:top w:val="none" w:sz="0" w:space="0" w:color="auto"/>
        <w:left w:val="none" w:sz="0" w:space="0" w:color="auto"/>
        <w:bottom w:val="none" w:sz="0" w:space="0" w:color="auto"/>
        <w:right w:val="none" w:sz="0" w:space="0" w:color="auto"/>
      </w:divBdr>
    </w:div>
    <w:div w:id="794324315">
      <w:bodyDiv w:val="1"/>
      <w:marLeft w:val="0"/>
      <w:marRight w:val="0"/>
      <w:marTop w:val="0"/>
      <w:marBottom w:val="0"/>
      <w:divBdr>
        <w:top w:val="none" w:sz="0" w:space="0" w:color="auto"/>
        <w:left w:val="none" w:sz="0" w:space="0" w:color="auto"/>
        <w:bottom w:val="none" w:sz="0" w:space="0" w:color="auto"/>
        <w:right w:val="none" w:sz="0" w:space="0" w:color="auto"/>
      </w:divBdr>
    </w:div>
    <w:div w:id="907502010">
      <w:bodyDiv w:val="1"/>
      <w:marLeft w:val="0"/>
      <w:marRight w:val="0"/>
      <w:marTop w:val="0"/>
      <w:marBottom w:val="0"/>
      <w:divBdr>
        <w:top w:val="none" w:sz="0" w:space="0" w:color="auto"/>
        <w:left w:val="none" w:sz="0" w:space="0" w:color="auto"/>
        <w:bottom w:val="none" w:sz="0" w:space="0" w:color="auto"/>
        <w:right w:val="none" w:sz="0" w:space="0" w:color="auto"/>
      </w:divBdr>
    </w:div>
    <w:div w:id="932320777">
      <w:bodyDiv w:val="1"/>
      <w:marLeft w:val="0"/>
      <w:marRight w:val="0"/>
      <w:marTop w:val="0"/>
      <w:marBottom w:val="0"/>
      <w:divBdr>
        <w:top w:val="none" w:sz="0" w:space="0" w:color="auto"/>
        <w:left w:val="none" w:sz="0" w:space="0" w:color="auto"/>
        <w:bottom w:val="none" w:sz="0" w:space="0" w:color="auto"/>
        <w:right w:val="none" w:sz="0" w:space="0" w:color="auto"/>
      </w:divBdr>
    </w:div>
    <w:div w:id="932666368">
      <w:bodyDiv w:val="1"/>
      <w:marLeft w:val="0"/>
      <w:marRight w:val="0"/>
      <w:marTop w:val="0"/>
      <w:marBottom w:val="0"/>
      <w:divBdr>
        <w:top w:val="none" w:sz="0" w:space="0" w:color="auto"/>
        <w:left w:val="none" w:sz="0" w:space="0" w:color="auto"/>
        <w:bottom w:val="none" w:sz="0" w:space="0" w:color="auto"/>
        <w:right w:val="none" w:sz="0" w:space="0" w:color="auto"/>
      </w:divBdr>
    </w:div>
    <w:div w:id="947852424">
      <w:bodyDiv w:val="1"/>
      <w:marLeft w:val="0"/>
      <w:marRight w:val="0"/>
      <w:marTop w:val="0"/>
      <w:marBottom w:val="0"/>
      <w:divBdr>
        <w:top w:val="none" w:sz="0" w:space="0" w:color="auto"/>
        <w:left w:val="none" w:sz="0" w:space="0" w:color="auto"/>
        <w:bottom w:val="none" w:sz="0" w:space="0" w:color="auto"/>
        <w:right w:val="none" w:sz="0" w:space="0" w:color="auto"/>
      </w:divBdr>
    </w:div>
    <w:div w:id="987903482">
      <w:bodyDiv w:val="1"/>
      <w:marLeft w:val="0"/>
      <w:marRight w:val="0"/>
      <w:marTop w:val="0"/>
      <w:marBottom w:val="0"/>
      <w:divBdr>
        <w:top w:val="none" w:sz="0" w:space="0" w:color="auto"/>
        <w:left w:val="none" w:sz="0" w:space="0" w:color="auto"/>
        <w:bottom w:val="none" w:sz="0" w:space="0" w:color="auto"/>
        <w:right w:val="none" w:sz="0" w:space="0" w:color="auto"/>
      </w:divBdr>
    </w:div>
    <w:div w:id="1072237411">
      <w:bodyDiv w:val="1"/>
      <w:marLeft w:val="0"/>
      <w:marRight w:val="0"/>
      <w:marTop w:val="0"/>
      <w:marBottom w:val="0"/>
      <w:divBdr>
        <w:top w:val="none" w:sz="0" w:space="0" w:color="auto"/>
        <w:left w:val="none" w:sz="0" w:space="0" w:color="auto"/>
        <w:bottom w:val="none" w:sz="0" w:space="0" w:color="auto"/>
        <w:right w:val="none" w:sz="0" w:space="0" w:color="auto"/>
      </w:divBdr>
    </w:div>
    <w:div w:id="1098256867">
      <w:bodyDiv w:val="1"/>
      <w:marLeft w:val="0"/>
      <w:marRight w:val="0"/>
      <w:marTop w:val="0"/>
      <w:marBottom w:val="0"/>
      <w:divBdr>
        <w:top w:val="none" w:sz="0" w:space="0" w:color="auto"/>
        <w:left w:val="none" w:sz="0" w:space="0" w:color="auto"/>
        <w:bottom w:val="none" w:sz="0" w:space="0" w:color="auto"/>
        <w:right w:val="none" w:sz="0" w:space="0" w:color="auto"/>
      </w:divBdr>
    </w:div>
    <w:div w:id="1108356006">
      <w:bodyDiv w:val="1"/>
      <w:marLeft w:val="0"/>
      <w:marRight w:val="0"/>
      <w:marTop w:val="0"/>
      <w:marBottom w:val="0"/>
      <w:divBdr>
        <w:top w:val="none" w:sz="0" w:space="0" w:color="auto"/>
        <w:left w:val="none" w:sz="0" w:space="0" w:color="auto"/>
        <w:bottom w:val="none" w:sz="0" w:space="0" w:color="auto"/>
        <w:right w:val="none" w:sz="0" w:space="0" w:color="auto"/>
      </w:divBdr>
    </w:div>
    <w:div w:id="1137793556">
      <w:bodyDiv w:val="1"/>
      <w:marLeft w:val="0"/>
      <w:marRight w:val="0"/>
      <w:marTop w:val="0"/>
      <w:marBottom w:val="0"/>
      <w:divBdr>
        <w:top w:val="none" w:sz="0" w:space="0" w:color="auto"/>
        <w:left w:val="none" w:sz="0" w:space="0" w:color="auto"/>
        <w:bottom w:val="none" w:sz="0" w:space="0" w:color="auto"/>
        <w:right w:val="none" w:sz="0" w:space="0" w:color="auto"/>
      </w:divBdr>
    </w:div>
    <w:div w:id="1140617071">
      <w:bodyDiv w:val="1"/>
      <w:marLeft w:val="0"/>
      <w:marRight w:val="0"/>
      <w:marTop w:val="0"/>
      <w:marBottom w:val="0"/>
      <w:divBdr>
        <w:top w:val="none" w:sz="0" w:space="0" w:color="auto"/>
        <w:left w:val="none" w:sz="0" w:space="0" w:color="auto"/>
        <w:bottom w:val="none" w:sz="0" w:space="0" w:color="auto"/>
        <w:right w:val="none" w:sz="0" w:space="0" w:color="auto"/>
      </w:divBdr>
    </w:div>
    <w:div w:id="1257471879">
      <w:bodyDiv w:val="1"/>
      <w:marLeft w:val="0"/>
      <w:marRight w:val="0"/>
      <w:marTop w:val="0"/>
      <w:marBottom w:val="0"/>
      <w:divBdr>
        <w:top w:val="none" w:sz="0" w:space="0" w:color="auto"/>
        <w:left w:val="none" w:sz="0" w:space="0" w:color="auto"/>
        <w:bottom w:val="none" w:sz="0" w:space="0" w:color="auto"/>
        <w:right w:val="none" w:sz="0" w:space="0" w:color="auto"/>
      </w:divBdr>
    </w:div>
    <w:div w:id="1280721279">
      <w:bodyDiv w:val="1"/>
      <w:marLeft w:val="0"/>
      <w:marRight w:val="0"/>
      <w:marTop w:val="0"/>
      <w:marBottom w:val="0"/>
      <w:divBdr>
        <w:top w:val="none" w:sz="0" w:space="0" w:color="auto"/>
        <w:left w:val="none" w:sz="0" w:space="0" w:color="auto"/>
        <w:bottom w:val="none" w:sz="0" w:space="0" w:color="auto"/>
        <w:right w:val="none" w:sz="0" w:space="0" w:color="auto"/>
      </w:divBdr>
    </w:div>
    <w:div w:id="1291470846">
      <w:bodyDiv w:val="1"/>
      <w:marLeft w:val="0"/>
      <w:marRight w:val="0"/>
      <w:marTop w:val="0"/>
      <w:marBottom w:val="0"/>
      <w:divBdr>
        <w:top w:val="none" w:sz="0" w:space="0" w:color="auto"/>
        <w:left w:val="none" w:sz="0" w:space="0" w:color="auto"/>
        <w:bottom w:val="none" w:sz="0" w:space="0" w:color="auto"/>
        <w:right w:val="none" w:sz="0" w:space="0" w:color="auto"/>
      </w:divBdr>
    </w:div>
    <w:div w:id="1308784881">
      <w:bodyDiv w:val="1"/>
      <w:marLeft w:val="0"/>
      <w:marRight w:val="0"/>
      <w:marTop w:val="0"/>
      <w:marBottom w:val="0"/>
      <w:divBdr>
        <w:top w:val="none" w:sz="0" w:space="0" w:color="auto"/>
        <w:left w:val="none" w:sz="0" w:space="0" w:color="auto"/>
        <w:bottom w:val="none" w:sz="0" w:space="0" w:color="auto"/>
        <w:right w:val="none" w:sz="0" w:space="0" w:color="auto"/>
      </w:divBdr>
    </w:div>
    <w:div w:id="1382945244">
      <w:bodyDiv w:val="1"/>
      <w:marLeft w:val="0"/>
      <w:marRight w:val="0"/>
      <w:marTop w:val="0"/>
      <w:marBottom w:val="0"/>
      <w:divBdr>
        <w:top w:val="none" w:sz="0" w:space="0" w:color="auto"/>
        <w:left w:val="none" w:sz="0" w:space="0" w:color="auto"/>
        <w:bottom w:val="none" w:sz="0" w:space="0" w:color="auto"/>
        <w:right w:val="none" w:sz="0" w:space="0" w:color="auto"/>
      </w:divBdr>
    </w:div>
    <w:div w:id="1409227216">
      <w:bodyDiv w:val="1"/>
      <w:marLeft w:val="0"/>
      <w:marRight w:val="0"/>
      <w:marTop w:val="0"/>
      <w:marBottom w:val="0"/>
      <w:divBdr>
        <w:top w:val="none" w:sz="0" w:space="0" w:color="auto"/>
        <w:left w:val="none" w:sz="0" w:space="0" w:color="auto"/>
        <w:bottom w:val="none" w:sz="0" w:space="0" w:color="auto"/>
        <w:right w:val="none" w:sz="0" w:space="0" w:color="auto"/>
      </w:divBdr>
    </w:div>
    <w:div w:id="1427262546">
      <w:bodyDiv w:val="1"/>
      <w:marLeft w:val="0"/>
      <w:marRight w:val="0"/>
      <w:marTop w:val="0"/>
      <w:marBottom w:val="0"/>
      <w:divBdr>
        <w:top w:val="none" w:sz="0" w:space="0" w:color="auto"/>
        <w:left w:val="none" w:sz="0" w:space="0" w:color="auto"/>
        <w:bottom w:val="none" w:sz="0" w:space="0" w:color="auto"/>
        <w:right w:val="none" w:sz="0" w:space="0" w:color="auto"/>
      </w:divBdr>
    </w:div>
    <w:div w:id="1434787198">
      <w:bodyDiv w:val="1"/>
      <w:marLeft w:val="0"/>
      <w:marRight w:val="0"/>
      <w:marTop w:val="0"/>
      <w:marBottom w:val="0"/>
      <w:divBdr>
        <w:top w:val="none" w:sz="0" w:space="0" w:color="auto"/>
        <w:left w:val="none" w:sz="0" w:space="0" w:color="auto"/>
        <w:bottom w:val="none" w:sz="0" w:space="0" w:color="auto"/>
        <w:right w:val="none" w:sz="0" w:space="0" w:color="auto"/>
      </w:divBdr>
    </w:div>
    <w:div w:id="1495485751">
      <w:bodyDiv w:val="1"/>
      <w:marLeft w:val="0"/>
      <w:marRight w:val="0"/>
      <w:marTop w:val="0"/>
      <w:marBottom w:val="0"/>
      <w:divBdr>
        <w:top w:val="none" w:sz="0" w:space="0" w:color="auto"/>
        <w:left w:val="none" w:sz="0" w:space="0" w:color="auto"/>
        <w:bottom w:val="none" w:sz="0" w:space="0" w:color="auto"/>
        <w:right w:val="none" w:sz="0" w:space="0" w:color="auto"/>
      </w:divBdr>
    </w:div>
    <w:div w:id="1547376573">
      <w:bodyDiv w:val="1"/>
      <w:marLeft w:val="0"/>
      <w:marRight w:val="0"/>
      <w:marTop w:val="0"/>
      <w:marBottom w:val="0"/>
      <w:divBdr>
        <w:top w:val="none" w:sz="0" w:space="0" w:color="auto"/>
        <w:left w:val="none" w:sz="0" w:space="0" w:color="auto"/>
        <w:bottom w:val="none" w:sz="0" w:space="0" w:color="auto"/>
        <w:right w:val="none" w:sz="0" w:space="0" w:color="auto"/>
      </w:divBdr>
    </w:div>
    <w:div w:id="1564677289">
      <w:bodyDiv w:val="1"/>
      <w:marLeft w:val="0"/>
      <w:marRight w:val="0"/>
      <w:marTop w:val="0"/>
      <w:marBottom w:val="0"/>
      <w:divBdr>
        <w:top w:val="none" w:sz="0" w:space="0" w:color="auto"/>
        <w:left w:val="none" w:sz="0" w:space="0" w:color="auto"/>
        <w:bottom w:val="none" w:sz="0" w:space="0" w:color="auto"/>
        <w:right w:val="none" w:sz="0" w:space="0" w:color="auto"/>
      </w:divBdr>
    </w:div>
    <w:div w:id="1581939872">
      <w:bodyDiv w:val="1"/>
      <w:marLeft w:val="0"/>
      <w:marRight w:val="0"/>
      <w:marTop w:val="0"/>
      <w:marBottom w:val="0"/>
      <w:divBdr>
        <w:top w:val="none" w:sz="0" w:space="0" w:color="auto"/>
        <w:left w:val="none" w:sz="0" w:space="0" w:color="auto"/>
        <w:bottom w:val="none" w:sz="0" w:space="0" w:color="auto"/>
        <w:right w:val="none" w:sz="0" w:space="0" w:color="auto"/>
      </w:divBdr>
    </w:div>
    <w:div w:id="1701007229">
      <w:bodyDiv w:val="1"/>
      <w:marLeft w:val="0"/>
      <w:marRight w:val="0"/>
      <w:marTop w:val="0"/>
      <w:marBottom w:val="0"/>
      <w:divBdr>
        <w:top w:val="none" w:sz="0" w:space="0" w:color="auto"/>
        <w:left w:val="none" w:sz="0" w:space="0" w:color="auto"/>
        <w:bottom w:val="none" w:sz="0" w:space="0" w:color="auto"/>
        <w:right w:val="none" w:sz="0" w:space="0" w:color="auto"/>
      </w:divBdr>
    </w:div>
    <w:div w:id="1735009956">
      <w:bodyDiv w:val="1"/>
      <w:marLeft w:val="0"/>
      <w:marRight w:val="0"/>
      <w:marTop w:val="0"/>
      <w:marBottom w:val="0"/>
      <w:divBdr>
        <w:top w:val="none" w:sz="0" w:space="0" w:color="auto"/>
        <w:left w:val="none" w:sz="0" w:space="0" w:color="auto"/>
        <w:bottom w:val="none" w:sz="0" w:space="0" w:color="auto"/>
        <w:right w:val="none" w:sz="0" w:space="0" w:color="auto"/>
      </w:divBdr>
    </w:div>
    <w:div w:id="1746108369">
      <w:bodyDiv w:val="1"/>
      <w:marLeft w:val="0"/>
      <w:marRight w:val="0"/>
      <w:marTop w:val="0"/>
      <w:marBottom w:val="0"/>
      <w:divBdr>
        <w:top w:val="none" w:sz="0" w:space="0" w:color="auto"/>
        <w:left w:val="none" w:sz="0" w:space="0" w:color="auto"/>
        <w:bottom w:val="none" w:sz="0" w:space="0" w:color="auto"/>
        <w:right w:val="none" w:sz="0" w:space="0" w:color="auto"/>
      </w:divBdr>
    </w:div>
    <w:div w:id="1827937604">
      <w:bodyDiv w:val="1"/>
      <w:marLeft w:val="0"/>
      <w:marRight w:val="0"/>
      <w:marTop w:val="0"/>
      <w:marBottom w:val="0"/>
      <w:divBdr>
        <w:top w:val="none" w:sz="0" w:space="0" w:color="auto"/>
        <w:left w:val="none" w:sz="0" w:space="0" w:color="auto"/>
        <w:bottom w:val="none" w:sz="0" w:space="0" w:color="auto"/>
        <w:right w:val="none" w:sz="0" w:space="0" w:color="auto"/>
      </w:divBdr>
    </w:div>
    <w:div w:id="1877431122">
      <w:bodyDiv w:val="1"/>
      <w:marLeft w:val="0"/>
      <w:marRight w:val="0"/>
      <w:marTop w:val="0"/>
      <w:marBottom w:val="0"/>
      <w:divBdr>
        <w:top w:val="none" w:sz="0" w:space="0" w:color="auto"/>
        <w:left w:val="none" w:sz="0" w:space="0" w:color="auto"/>
        <w:bottom w:val="none" w:sz="0" w:space="0" w:color="auto"/>
        <w:right w:val="none" w:sz="0" w:space="0" w:color="auto"/>
      </w:divBdr>
    </w:div>
    <w:div w:id="1895117971">
      <w:bodyDiv w:val="1"/>
      <w:marLeft w:val="0"/>
      <w:marRight w:val="0"/>
      <w:marTop w:val="0"/>
      <w:marBottom w:val="0"/>
      <w:divBdr>
        <w:top w:val="none" w:sz="0" w:space="0" w:color="auto"/>
        <w:left w:val="none" w:sz="0" w:space="0" w:color="auto"/>
        <w:bottom w:val="none" w:sz="0" w:space="0" w:color="auto"/>
        <w:right w:val="none" w:sz="0" w:space="0" w:color="auto"/>
      </w:divBdr>
    </w:div>
    <w:div w:id="1911580088">
      <w:bodyDiv w:val="1"/>
      <w:marLeft w:val="0"/>
      <w:marRight w:val="0"/>
      <w:marTop w:val="0"/>
      <w:marBottom w:val="0"/>
      <w:divBdr>
        <w:top w:val="none" w:sz="0" w:space="0" w:color="auto"/>
        <w:left w:val="none" w:sz="0" w:space="0" w:color="auto"/>
        <w:bottom w:val="none" w:sz="0" w:space="0" w:color="auto"/>
        <w:right w:val="none" w:sz="0" w:space="0" w:color="auto"/>
      </w:divBdr>
    </w:div>
    <w:div w:id="1924676172">
      <w:bodyDiv w:val="1"/>
      <w:marLeft w:val="0"/>
      <w:marRight w:val="0"/>
      <w:marTop w:val="0"/>
      <w:marBottom w:val="0"/>
      <w:divBdr>
        <w:top w:val="none" w:sz="0" w:space="0" w:color="auto"/>
        <w:left w:val="none" w:sz="0" w:space="0" w:color="auto"/>
        <w:bottom w:val="none" w:sz="0" w:space="0" w:color="auto"/>
        <w:right w:val="none" w:sz="0" w:space="0" w:color="auto"/>
      </w:divBdr>
    </w:div>
    <w:div w:id="1960065767">
      <w:bodyDiv w:val="1"/>
      <w:marLeft w:val="0"/>
      <w:marRight w:val="0"/>
      <w:marTop w:val="0"/>
      <w:marBottom w:val="0"/>
      <w:divBdr>
        <w:top w:val="none" w:sz="0" w:space="0" w:color="auto"/>
        <w:left w:val="none" w:sz="0" w:space="0" w:color="auto"/>
        <w:bottom w:val="none" w:sz="0" w:space="0" w:color="auto"/>
        <w:right w:val="none" w:sz="0" w:space="0" w:color="auto"/>
      </w:divBdr>
    </w:div>
    <w:div w:id="2011369981">
      <w:bodyDiv w:val="1"/>
      <w:marLeft w:val="0"/>
      <w:marRight w:val="0"/>
      <w:marTop w:val="0"/>
      <w:marBottom w:val="0"/>
      <w:divBdr>
        <w:top w:val="none" w:sz="0" w:space="0" w:color="auto"/>
        <w:left w:val="none" w:sz="0" w:space="0" w:color="auto"/>
        <w:bottom w:val="none" w:sz="0" w:space="0" w:color="auto"/>
        <w:right w:val="none" w:sz="0" w:space="0" w:color="auto"/>
      </w:divBdr>
    </w:div>
    <w:div w:id="2061587287">
      <w:bodyDiv w:val="1"/>
      <w:marLeft w:val="0"/>
      <w:marRight w:val="0"/>
      <w:marTop w:val="0"/>
      <w:marBottom w:val="0"/>
      <w:divBdr>
        <w:top w:val="none" w:sz="0" w:space="0" w:color="auto"/>
        <w:left w:val="none" w:sz="0" w:space="0" w:color="auto"/>
        <w:bottom w:val="none" w:sz="0" w:space="0" w:color="auto"/>
        <w:right w:val="none" w:sz="0" w:space="0" w:color="auto"/>
      </w:divBdr>
    </w:div>
    <w:div w:id="2119446730">
      <w:bodyDiv w:val="1"/>
      <w:marLeft w:val="0"/>
      <w:marRight w:val="0"/>
      <w:marTop w:val="0"/>
      <w:marBottom w:val="0"/>
      <w:divBdr>
        <w:top w:val="none" w:sz="0" w:space="0" w:color="auto"/>
        <w:left w:val="none" w:sz="0" w:space="0" w:color="auto"/>
        <w:bottom w:val="none" w:sz="0" w:space="0" w:color="auto"/>
        <w:right w:val="none" w:sz="0" w:space="0" w:color="auto"/>
      </w:divBdr>
    </w:div>
    <w:div w:id="2130777446">
      <w:bodyDiv w:val="1"/>
      <w:marLeft w:val="0"/>
      <w:marRight w:val="0"/>
      <w:marTop w:val="0"/>
      <w:marBottom w:val="0"/>
      <w:divBdr>
        <w:top w:val="none" w:sz="0" w:space="0" w:color="auto"/>
        <w:left w:val="none" w:sz="0" w:space="0" w:color="auto"/>
        <w:bottom w:val="none" w:sz="0" w:space="0" w:color="auto"/>
        <w:right w:val="none" w:sz="0" w:space="0" w:color="auto"/>
      </w:divBdr>
    </w:div>
    <w:div w:id="2133475861">
      <w:bodyDiv w:val="1"/>
      <w:marLeft w:val="0"/>
      <w:marRight w:val="0"/>
      <w:marTop w:val="0"/>
      <w:marBottom w:val="0"/>
      <w:divBdr>
        <w:top w:val="none" w:sz="0" w:space="0" w:color="auto"/>
        <w:left w:val="none" w:sz="0" w:space="0" w:color="auto"/>
        <w:bottom w:val="none" w:sz="0" w:space="0" w:color="auto"/>
        <w:right w:val="none" w:sz="0" w:space="0" w:color="auto"/>
      </w:divBdr>
      <w:divsChild>
        <w:div w:id="1752503574">
          <w:marLeft w:val="0"/>
          <w:marRight w:val="0"/>
          <w:marTop w:val="0"/>
          <w:marBottom w:val="0"/>
          <w:divBdr>
            <w:top w:val="none" w:sz="0" w:space="0" w:color="auto"/>
            <w:left w:val="none" w:sz="0" w:space="0" w:color="auto"/>
            <w:bottom w:val="none" w:sz="0" w:space="0" w:color="auto"/>
            <w:right w:val="none" w:sz="0" w:space="0" w:color="auto"/>
          </w:divBdr>
          <w:divsChild>
            <w:div w:id="84516944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14442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jusinski\Desktop\TINA\Niskouglji&#269;na%20strategija%20-%20Zelena%20knjiga%20-%20NAC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E2FBD-5619-4576-B800-6BEC3854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Niskougljična strategija - Zelena knjiga - NACRT</Template>
  <TotalTime>209</TotalTime>
  <Pages>131</Pages>
  <Words>45694</Words>
  <Characters>260462</Characters>
  <Application>Microsoft Office Word</Application>
  <DocSecurity>0</DocSecurity>
  <Lines>2170</Lines>
  <Paragraphs>611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NASLOV STUDIJE</vt:lpstr>
      <vt:lpstr>NASLOV STUDIJE</vt:lpstr>
    </vt:vector>
  </TitlesOfParts>
  <Company>EKONERG</Company>
  <LinksUpToDate>false</LinksUpToDate>
  <CharactersWithSpaces>305545</CharactersWithSpaces>
  <SharedDoc>false</SharedDoc>
  <HLinks>
    <vt:vector size="900" baseType="variant">
      <vt:variant>
        <vt:i4>1966111</vt:i4>
      </vt:variant>
      <vt:variant>
        <vt:i4>873</vt:i4>
      </vt:variant>
      <vt:variant>
        <vt:i4>0</vt:i4>
      </vt:variant>
      <vt:variant>
        <vt:i4>5</vt:i4>
      </vt:variant>
      <vt:variant>
        <vt:lpwstr>http://www.mzoip.hr/</vt:lpwstr>
      </vt:variant>
      <vt:variant>
        <vt:lpwstr/>
      </vt:variant>
      <vt:variant>
        <vt:i4>5701664</vt:i4>
      </vt:variant>
      <vt:variant>
        <vt:i4>849</vt:i4>
      </vt:variant>
      <vt:variant>
        <vt:i4>0</vt:i4>
      </vt:variant>
      <vt:variant>
        <vt:i4>5</vt:i4>
      </vt:variant>
      <vt:variant>
        <vt:lpwstr>http://narodne-novine.nn.hr/clanci/sluzbeni/2011_03_31_682.html</vt:lpwstr>
      </vt:variant>
      <vt:variant>
        <vt:lpwstr/>
      </vt:variant>
      <vt:variant>
        <vt:i4>786548</vt:i4>
      </vt:variant>
      <vt:variant>
        <vt:i4>846</vt:i4>
      </vt:variant>
      <vt:variant>
        <vt:i4>0</vt:i4>
      </vt:variant>
      <vt:variant>
        <vt:i4>5</vt:i4>
      </vt:variant>
      <vt:variant>
        <vt:lpwstr>http://narodne-novine.nn.hr/clanci/sluzbeni/2010_11_126_3261.html</vt:lpwstr>
      </vt:variant>
      <vt:variant>
        <vt:lpwstr/>
      </vt:variant>
      <vt:variant>
        <vt:i4>3276840</vt:i4>
      </vt:variant>
      <vt:variant>
        <vt:i4>843</vt:i4>
      </vt:variant>
      <vt:variant>
        <vt:i4>0</vt:i4>
      </vt:variant>
      <vt:variant>
        <vt:i4>5</vt:i4>
      </vt:variant>
      <vt:variant>
        <vt:lpwstr>http://narodne-novine.nn.hr/clanci/sluzbeni/299087.html</vt:lpwstr>
      </vt:variant>
      <vt:variant>
        <vt:lpwstr/>
      </vt:variant>
      <vt:variant>
        <vt:i4>3997730</vt:i4>
      </vt:variant>
      <vt:variant>
        <vt:i4>840</vt:i4>
      </vt:variant>
      <vt:variant>
        <vt:i4>0</vt:i4>
      </vt:variant>
      <vt:variant>
        <vt:i4>5</vt:i4>
      </vt:variant>
      <vt:variant>
        <vt:lpwstr>http://narodne-novine.nn.hr/clanci/sluzbeni/289920.html</vt:lpwstr>
      </vt:variant>
      <vt:variant>
        <vt:lpwstr/>
      </vt:variant>
      <vt:variant>
        <vt:i4>196721</vt:i4>
      </vt:variant>
      <vt:variant>
        <vt:i4>837</vt:i4>
      </vt:variant>
      <vt:variant>
        <vt:i4>0</vt:i4>
      </vt:variant>
      <vt:variant>
        <vt:i4>5</vt:i4>
      </vt:variant>
      <vt:variant>
        <vt:lpwstr>http://narodne-novine.nn.hr/clanci/sluzbeni/2014_11_140_2648.html</vt:lpwstr>
      </vt:variant>
      <vt:variant>
        <vt:lpwstr/>
      </vt:variant>
      <vt:variant>
        <vt:i4>786555</vt:i4>
      </vt:variant>
      <vt:variant>
        <vt:i4>834</vt:i4>
      </vt:variant>
      <vt:variant>
        <vt:i4>0</vt:i4>
      </vt:variant>
      <vt:variant>
        <vt:i4>5</vt:i4>
      </vt:variant>
      <vt:variant>
        <vt:lpwstr>http://narodne-novine.nn.hr/clanci/sluzbeni/2014_08_105_2024.html</vt:lpwstr>
      </vt:variant>
      <vt:variant>
        <vt:lpwstr/>
      </vt:variant>
      <vt:variant>
        <vt:i4>5963823</vt:i4>
      </vt:variant>
      <vt:variant>
        <vt:i4>831</vt:i4>
      </vt:variant>
      <vt:variant>
        <vt:i4>0</vt:i4>
      </vt:variant>
      <vt:variant>
        <vt:i4>5</vt:i4>
      </vt:variant>
      <vt:variant>
        <vt:lpwstr>http://narodne-novine.nn.hr/clanci/sluzbeni/2014_02_18_347.html</vt:lpwstr>
      </vt:variant>
      <vt:variant>
        <vt:lpwstr/>
      </vt:variant>
      <vt:variant>
        <vt:i4>852091</vt:i4>
      </vt:variant>
      <vt:variant>
        <vt:i4>828</vt:i4>
      </vt:variant>
      <vt:variant>
        <vt:i4>0</vt:i4>
      </vt:variant>
      <vt:variant>
        <vt:i4>5</vt:i4>
      </vt:variant>
      <vt:variant>
        <vt:lpwstr>http://narodne-novine.nn.hr/clanci/sluzbeni/2013_11_139_2979.html</vt:lpwstr>
      </vt:variant>
      <vt:variant>
        <vt:lpwstr/>
      </vt:variant>
      <vt:variant>
        <vt:i4>6160425</vt:i4>
      </vt:variant>
      <vt:variant>
        <vt:i4>825</vt:i4>
      </vt:variant>
      <vt:variant>
        <vt:i4>0</vt:i4>
      </vt:variant>
      <vt:variant>
        <vt:i4>5</vt:i4>
      </vt:variant>
      <vt:variant>
        <vt:lpwstr>http://narodne-novine.nn.hr/clanci/sluzbeni/2013_02_19_324.html</vt:lpwstr>
      </vt:variant>
      <vt:variant>
        <vt:lpwstr/>
      </vt:variant>
      <vt:variant>
        <vt:i4>5636143</vt:i4>
      </vt:variant>
      <vt:variant>
        <vt:i4>822</vt:i4>
      </vt:variant>
      <vt:variant>
        <vt:i4>0</vt:i4>
      </vt:variant>
      <vt:variant>
        <vt:i4>5</vt:i4>
      </vt:variant>
      <vt:variant>
        <vt:lpwstr>http://narodne-novine.nn.hr/clanci/sluzbeni/2010_02_24_574.html</vt:lpwstr>
      </vt:variant>
      <vt:variant>
        <vt:lpwstr/>
      </vt:variant>
      <vt:variant>
        <vt:i4>3670048</vt:i4>
      </vt:variant>
      <vt:variant>
        <vt:i4>819</vt:i4>
      </vt:variant>
      <vt:variant>
        <vt:i4>0</vt:i4>
      </vt:variant>
      <vt:variant>
        <vt:i4>5</vt:i4>
      </vt:variant>
      <vt:variant>
        <vt:lpwstr>http://narodne-novine.nn.hr/clanci/sluzbeni/379516.html</vt:lpwstr>
      </vt:variant>
      <vt:variant>
        <vt:lpwstr/>
      </vt:variant>
      <vt:variant>
        <vt:i4>3276832</vt:i4>
      </vt:variant>
      <vt:variant>
        <vt:i4>816</vt:i4>
      </vt:variant>
      <vt:variant>
        <vt:i4>0</vt:i4>
      </vt:variant>
      <vt:variant>
        <vt:i4>5</vt:i4>
      </vt:variant>
      <vt:variant>
        <vt:lpwstr>http://narodne-novine.nn.hr/clanci/sluzbeni/378108.html</vt:lpwstr>
      </vt:variant>
      <vt:variant>
        <vt:lpwstr/>
      </vt:variant>
      <vt:variant>
        <vt:i4>6291522</vt:i4>
      </vt:variant>
      <vt:variant>
        <vt:i4>813</vt:i4>
      </vt:variant>
      <vt:variant>
        <vt:i4>0</vt:i4>
      </vt:variant>
      <vt:variant>
        <vt:i4>5</vt:i4>
      </vt:variant>
      <vt:variant>
        <vt:lpwstr>http://narodne-novine.nn.hr/clanci/sluzbeni/2015_06_70_1347.html</vt:lpwstr>
      </vt:variant>
      <vt:variant>
        <vt:lpwstr/>
      </vt:variant>
      <vt:variant>
        <vt:i4>6881348</vt:i4>
      </vt:variant>
      <vt:variant>
        <vt:i4>810</vt:i4>
      </vt:variant>
      <vt:variant>
        <vt:i4>0</vt:i4>
      </vt:variant>
      <vt:variant>
        <vt:i4>5</vt:i4>
      </vt:variant>
      <vt:variant>
        <vt:lpwstr>http://narodne-novine.nn.hr/clanci/sluzbeni/2012_04_43_1093.html</vt:lpwstr>
      </vt:variant>
      <vt:variant>
        <vt:lpwstr/>
      </vt:variant>
      <vt:variant>
        <vt:i4>7012431</vt:i4>
      </vt:variant>
      <vt:variant>
        <vt:i4>807</vt:i4>
      </vt:variant>
      <vt:variant>
        <vt:i4>0</vt:i4>
      </vt:variant>
      <vt:variant>
        <vt:i4>5</vt:i4>
      </vt:variant>
      <vt:variant>
        <vt:lpwstr>http://narodne-novine.nn.hr/clanci/sluzbeni/2015_05_56_1098.html</vt:lpwstr>
      </vt:variant>
      <vt:variant>
        <vt:lpwstr/>
      </vt:variant>
      <vt:variant>
        <vt:i4>6357066</vt:i4>
      </vt:variant>
      <vt:variant>
        <vt:i4>804</vt:i4>
      </vt:variant>
      <vt:variant>
        <vt:i4>0</vt:i4>
      </vt:variant>
      <vt:variant>
        <vt:i4>5</vt:i4>
      </vt:variant>
      <vt:variant>
        <vt:lpwstr>http://narodne-novine.nn.hr/clanci/sluzbeni/2014_06_76_1428.html</vt:lpwstr>
      </vt:variant>
      <vt:variant>
        <vt:lpwstr/>
      </vt:variant>
      <vt:variant>
        <vt:i4>131195</vt:i4>
      </vt:variant>
      <vt:variant>
        <vt:i4>801</vt:i4>
      </vt:variant>
      <vt:variant>
        <vt:i4>0</vt:i4>
      </vt:variant>
      <vt:variant>
        <vt:i4>5</vt:i4>
      </vt:variant>
      <vt:variant>
        <vt:lpwstr>http://narodne-novine.nn.hr/clanci/sluzbeni/2013_09_113_2458.html</vt:lpwstr>
      </vt:variant>
      <vt:variant>
        <vt:lpwstr/>
      </vt:variant>
      <vt:variant>
        <vt:i4>3342368</vt:i4>
      </vt:variant>
      <vt:variant>
        <vt:i4>798</vt:i4>
      </vt:variant>
      <vt:variant>
        <vt:i4>0</vt:i4>
      </vt:variant>
      <vt:variant>
        <vt:i4>5</vt:i4>
      </vt:variant>
      <vt:variant>
        <vt:lpwstr>http://narodne-novine.nn.hr/clanci/sluzbeni/378008.html</vt:lpwstr>
      </vt:variant>
      <vt:variant>
        <vt:lpwstr/>
      </vt:variant>
      <vt:variant>
        <vt:i4>1769520</vt:i4>
      </vt:variant>
      <vt:variant>
        <vt:i4>788</vt:i4>
      </vt:variant>
      <vt:variant>
        <vt:i4>0</vt:i4>
      </vt:variant>
      <vt:variant>
        <vt:i4>5</vt:i4>
      </vt:variant>
      <vt:variant>
        <vt:lpwstr/>
      </vt:variant>
      <vt:variant>
        <vt:lpwstr>_Toc425983948</vt:lpwstr>
      </vt:variant>
      <vt:variant>
        <vt:i4>1769520</vt:i4>
      </vt:variant>
      <vt:variant>
        <vt:i4>782</vt:i4>
      </vt:variant>
      <vt:variant>
        <vt:i4>0</vt:i4>
      </vt:variant>
      <vt:variant>
        <vt:i4>5</vt:i4>
      </vt:variant>
      <vt:variant>
        <vt:lpwstr/>
      </vt:variant>
      <vt:variant>
        <vt:lpwstr>_Toc425983947</vt:lpwstr>
      </vt:variant>
      <vt:variant>
        <vt:i4>1769520</vt:i4>
      </vt:variant>
      <vt:variant>
        <vt:i4>776</vt:i4>
      </vt:variant>
      <vt:variant>
        <vt:i4>0</vt:i4>
      </vt:variant>
      <vt:variant>
        <vt:i4>5</vt:i4>
      </vt:variant>
      <vt:variant>
        <vt:lpwstr/>
      </vt:variant>
      <vt:variant>
        <vt:lpwstr>_Toc425983946</vt:lpwstr>
      </vt:variant>
      <vt:variant>
        <vt:i4>1769520</vt:i4>
      </vt:variant>
      <vt:variant>
        <vt:i4>770</vt:i4>
      </vt:variant>
      <vt:variant>
        <vt:i4>0</vt:i4>
      </vt:variant>
      <vt:variant>
        <vt:i4>5</vt:i4>
      </vt:variant>
      <vt:variant>
        <vt:lpwstr/>
      </vt:variant>
      <vt:variant>
        <vt:lpwstr>_Toc425983945</vt:lpwstr>
      </vt:variant>
      <vt:variant>
        <vt:i4>1769520</vt:i4>
      </vt:variant>
      <vt:variant>
        <vt:i4>764</vt:i4>
      </vt:variant>
      <vt:variant>
        <vt:i4>0</vt:i4>
      </vt:variant>
      <vt:variant>
        <vt:i4>5</vt:i4>
      </vt:variant>
      <vt:variant>
        <vt:lpwstr/>
      </vt:variant>
      <vt:variant>
        <vt:lpwstr>_Toc425983944</vt:lpwstr>
      </vt:variant>
      <vt:variant>
        <vt:i4>1769520</vt:i4>
      </vt:variant>
      <vt:variant>
        <vt:i4>758</vt:i4>
      </vt:variant>
      <vt:variant>
        <vt:i4>0</vt:i4>
      </vt:variant>
      <vt:variant>
        <vt:i4>5</vt:i4>
      </vt:variant>
      <vt:variant>
        <vt:lpwstr/>
      </vt:variant>
      <vt:variant>
        <vt:lpwstr>_Toc425983943</vt:lpwstr>
      </vt:variant>
      <vt:variant>
        <vt:i4>1769520</vt:i4>
      </vt:variant>
      <vt:variant>
        <vt:i4>752</vt:i4>
      </vt:variant>
      <vt:variant>
        <vt:i4>0</vt:i4>
      </vt:variant>
      <vt:variant>
        <vt:i4>5</vt:i4>
      </vt:variant>
      <vt:variant>
        <vt:lpwstr/>
      </vt:variant>
      <vt:variant>
        <vt:lpwstr>_Toc425983942</vt:lpwstr>
      </vt:variant>
      <vt:variant>
        <vt:i4>1769520</vt:i4>
      </vt:variant>
      <vt:variant>
        <vt:i4>746</vt:i4>
      </vt:variant>
      <vt:variant>
        <vt:i4>0</vt:i4>
      </vt:variant>
      <vt:variant>
        <vt:i4>5</vt:i4>
      </vt:variant>
      <vt:variant>
        <vt:lpwstr/>
      </vt:variant>
      <vt:variant>
        <vt:lpwstr>_Toc425983941</vt:lpwstr>
      </vt:variant>
      <vt:variant>
        <vt:i4>1769520</vt:i4>
      </vt:variant>
      <vt:variant>
        <vt:i4>740</vt:i4>
      </vt:variant>
      <vt:variant>
        <vt:i4>0</vt:i4>
      </vt:variant>
      <vt:variant>
        <vt:i4>5</vt:i4>
      </vt:variant>
      <vt:variant>
        <vt:lpwstr/>
      </vt:variant>
      <vt:variant>
        <vt:lpwstr>_Toc425983940</vt:lpwstr>
      </vt:variant>
      <vt:variant>
        <vt:i4>1835056</vt:i4>
      </vt:variant>
      <vt:variant>
        <vt:i4>734</vt:i4>
      </vt:variant>
      <vt:variant>
        <vt:i4>0</vt:i4>
      </vt:variant>
      <vt:variant>
        <vt:i4>5</vt:i4>
      </vt:variant>
      <vt:variant>
        <vt:lpwstr/>
      </vt:variant>
      <vt:variant>
        <vt:lpwstr>_Toc425983939</vt:lpwstr>
      </vt:variant>
      <vt:variant>
        <vt:i4>1835056</vt:i4>
      </vt:variant>
      <vt:variant>
        <vt:i4>728</vt:i4>
      </vt:variant>
      <vt:variant>
        <vt:i4>0</vt:i4>
      </vt:variant>
      <vt:variant>
        <vt:i4>5</vt:i4>
      </vt:variant>
      <vt:variant>
        <vt:lpwstr/>
      </vt:variant>
      <vt:variant>
        <vt:lpwstr>_Toc425983938</vt:lpwstr>
      </vt:variant>
      <vt:variant>
        <vt:i4>1835056</vt:i4>
      </vt:variant>
      <vt:variant>
        <vt:i4>722</vt:i4>
      </vt:variant>
      <vt:variant>
        <vt:i4>0</vt:i4>
      </vt:variant>
      <vt:variant>
        <vt:i4>5</vt:i4>
      </vt:variant>
      <vt:variant>
        <vt:lpwstr/>
      </vt:variant>
      <vt:variant>
        <vt:lpwstr>_Toc425983937</vt:lpwstr>
      </vt:variant>
      <vt:variant>
        <vt:i4>1835056</vt:i4>
      </vt:variant>
      <vt:variant>
        <vt:i4>716</vt:i4>
      </vt:variant>
      <vt:variant>
        <vt:i4>0</vt:i4>
      </vt:variant>
      <vt:variant>
        <vt:i4>5</vt:i4>
      </vt:variant>
      <vt:variant>
        <vt:lpwstr/>
      </vt:variant>
      <vt:variant>
        <vt:lpwstr>_Toc425983936</vt:lpwstr>
      </vt:variant>
      <vt:variant>
        <vt:i4>1835056</vt:i4>
      </vt:variant>
      <vt:variant>
        <vt:i4>710</vt:i4>
      </vt:variant>
      <vt:variant>
        <vt:i4>0</vt:i4>
      </vt:variant>
      <vt:variant>
        <vt:i4>5</vt:i4>
      </vt:variant>
      <vt:variant>
        <vt:lpwstr/>
      </vt:variant>
      <vt:variant>
        <vt:lpwstr>_Toc425983935</vt:lpwstr>
      </vt:variant>
      <vt:variant>
        <vt:i4>1835056</vt:i4>
      </vt:variant>
      <vt:variant>
        <vt:i4>704</vt:i4>
      </vt:variant>
      <vt:variant>
        <vt:i4>0</vt:i4>
      </vt:variant>
      <vt:variant>
        <vt:i4>5</vt:i4>
      </vt:variant>
      <vt:variant>
        <vt:lpwstr/>
      </vt:variant>
      <vt:variant>
        <vt:lpwstr>_Toc425983934</vt:lpwstr>
      </vt:variant>
      <vt:variant>
        <vt:i4>1835056</vt:i4>
      </vt:variant>
      <vt:variant>
        <vt:i4>698</vt:i4>
      </vt:variant>
      <vt:variant>
        <vt:i4>0</vt:i4>
      </vt:variant>
      <vt:variant>
        <vt:i4>5</vt:i4>
      </vt:variant>
      <vt:variant>
        <vt:lpwstr/>
      </vt:variant>
      <vt:variant>
        <vt:lpwstr>_Toc425983933</vt:lpwstr>
      </vt:variant>
      <vt:variant>
        <vt:i4>1835056</vt:i4>
      </vt:variant>
      <vt:variant>
        <vt:i4>692</vt:i4>
      </vt:variant>
      <vt:variant>
        <vt:i4>0</vt:i4>
      </vt:variant>
      <vt:variant>
        <vt:i4>5</vt:i4>
      </vt:variant>
      <vt:variant>
        <vt:lpwstr/>
      </vt:variant>
      <vt:variant>
        <vt:lpwstr>_Toc425983932</vt:lpwstr>
      </vt:variant>
      <vt:variant>
        <vt:i4>1835056</vt:i4>
      </vt:variant>
      <vt:variant>
        <vt:i4>686</vt:i4>
      </vt:variant>
      <vt:variant>
        <vt:i4>0</vt:i4>
      </vt:variant>
      <vt:variant>
        <vt:i4>5</vt:i4>
      </vt:variant>
      <vt:variant>
        <vt:lpwstr/>
      </vt:variant>
      <vt:variant>
        <vt:lpwstr>_Toc425983931</vt:lpwstr>
      </vt:variant>
      <vt:variant>
        <vt:i4>1835056</vt:i4>
      </vt:variant>
      <vt:variant>
        <vt:i4>680</vt:i4>
      </vt:variant>
      <vt:variant>
        <vt:i4>0</vt:i4>
      </vt:variant>
      <vt:variant>
        <vt:i4>5</vt:i4>
      </vt:variant>
      <vt:variant>
        <vt:lpwstr/>
      </vt:variant>
      <vt:variant>
        <vt:lpwstr>_Toc425983930</vt:lpwstr>
      </vt:variant>
      <vt:variant>
        <vt:i4>1900592</vt:i4>
      </vt:variant>
      <vt:variant>
        <vt:i4>674</vt:i4>
      </vt:variant>
      <vt:variant>
        <vt:i4>0</vt:i4>
      </vt:variant>
      <vt:variant>
        <vt:i4>5</vt:i4>
      </vt:variant>
      <vt:variant>
        <vt:lpwstr/>
      </vt:variant>
      <vt:variant>
        <vt:lpwstr>_Toc425983929</vt:lpwstr>
      </vt:variant>
      <vt:variant>
        <vt:i4>1900592</vt:i4>
      </vt:variant>
      <vt:variant>
        <vt:i4>668</vt:i4>
      </vt:variant>
      <vt:variant>
        <vt:i4>0</vt:i4>
      </vt:variant>
      <vt:variant>
        <vt:i4>5</vt:i4>
      </vt:variant>
      <vt:variant>
        <vt:lpwstr/>
      </vt:variant>
      <vt:variant>
        <vt:lpwstr>_Toc425983928</vt:lpwstr>
      </vt:variant>
      <vt:variant>
        <vt:i4>1900592</vt:i4>
      </vt:variant>
      <vt:variant>
        <vt:i4>659</vt:i4>
      </vt:variant>
      <vt:variant>
        <vt:i4>0</vt:i4>
      </vt:variant>
      <vt:variant>
        <vt:i4>5</vt:i4>
      </vt:variant>
      <vt:variant>
        <vt:lpwstr/>
      </vt:variant>
      <vt:variant>
        <vt:lpwstr>_Toc425983927</vt:lpwstr>
      </vt:variant>
      <vt:variant>
        <vt:i4>1900592</vt:i4>
      </vt:variant>
      <vt:variant>
        <vt:i4>653</vt:i4>
      </vt:variant>
      <vt:variant>
        <vt:i4>0</vt:i4>
      </vt:variant>
      <vt:variant>
        <vt:i4>5</vt:i4>
      </vt:variant>
      <vt:variant>
        <vt:lpwstr/>
      </vt:variant>
      <vt:variant>
        <vt:lpwstr>_Toc425983926</vt:lpwstr>
      </vt:variant>
      <vt:variant>
        <vt:i4>1900592</vt:i4>
      </vt:variant>
      <vt:variant>
        <vt:i4>647</vt:i4>
      </vt:variant>
      <vt:variant>
        <vt:i4>0</vt:i4>
      </vt:variant>
      <vt:variant>
        <vt:i4>5</vt:i4>
      </vt:variant>
      <vt:variant>
        <vt:lpwstr/>
      </vt:variant>
      <vt:variant>
        <vt:lpwstr>_Toc425983925</vt:lpwstr>
      </vt:variant>
      <vt:variant>
        <vt:i4>1900592</vt:i4>
      </vt:variant>
      <vt:variant>
        <vt:i4>641</vt:i4>
      </vt:variant>
      <vt:variant>
        <vt:i4>0</vt:i4>
      </vt:variant>
      <vt:variant>
        <vt:i4>5</vt:i4>
      </vt:variant>
      <vt:variant>
        <vt:lpwstr/>
      </vt:variant>
      <vt:variant>
        <vt:lpwstr>_Toc425983924</vt:lpwstr>
      </vt:variant>
      <vt:variant>
        <vt:i4>1900592</vt:i4>
      </vt:variant>
      <vt:variant>
        <vt:i4>635</vt:i4>
      </vt:variant>
      <vt:variant>
        <vt:i4>0</vt:i4>
      </vt:variant>
      <vt:variant>
        <vt:i4>5</vt:i4>
      </vt:variant>
      <vt:variant>
        <vt:lpwstr/>
      </vt:variant>
      <vt:variant>
        <vt:lpwstr>_Toc425983923</vt:lpwstr>
      </vt:variant>
      <vt:variant>
        <vt:i4>1900592</vt:i4>
      </vt:variant>
      <vt:variant>
        <vt:i4>629</vt:i4>
      </vt:variant>
      <vt:variant>
        <vt:i4>0</vt:i4>
      </vt:variant>
      <vt:variant>
        <vt:i4>5</vt:i4>
      </vt:variant>
      <vt:variant>
        <vt:lpwstr/>
      </vt:variant>
      <vt:variant>
        <vt:lpwstr>_Toc425983922</vt:lpwstr>
      </vt:variant>
      <vt:variant>
        <vt:i4>1900592</vt:i4>
      </vt:variant>
      <vt:variant>
        <vt:i4>623</vt:i4>
      </vt:variant>
      <vt:variant>
        <vt:i4>0</vt:i4>
      </vt:variant>
      <vt:variant>
        <vt:i4>5</vt:i4>
      </vt:variant>
      <vt:variant>
        <vt:lpwstr/>
      </vt:variant>
      <vt:variant>
        <vt:lpwstr>_Toc425983921</vt:lpwstr>
      </vt:variant>
      <vt:variant>
        <vt:i4>1900592</vt:i4>
      </vt:variant>
      <vt:variant>
        <vt:i4>617</vt:i4>
      </vt:variant>
      <vt:variant>
        <vt:i4>0</vt:i4>
      </vt:variant>
      <vt:variant>
        <vt:i4>5</vt:i4>
      </vt:variant>
      <vt:variant>
        <vt:lpwstr/>
      </vt:variant>
      <vt:variant>
        <vt:lpwstr>_Toc425983920</vt:lpwstr>
      </vt:variant>
      <vt:variant>
        <vt:i4>1966128</vt:i4>
      </vt:variant>
      <vt:variant>
        <vt:i4>611</vt:i4>
      </vt:variant>
      <vt:variant>
        <vt:i4>0</vt:i4>
      </vt:variant>
      <vt:variant>
        <vt:i4>5</vt:i4>
      </vt:variant>
      <vt:variant>
        <vt:lpwstr/>
      </vt:variant>
      <vt:variant>
        <vt:lpwstr>_Toc425983919</vt:lpwstr>
      </vt:variant>
      <vt:variant>
        <vt:i4>1966128</vt:i4>
      </vt:variant>
      <vt:variant>
        <vt:i4>605</vt:i4>
      </vt:variant>
      <vt:variant>
        <vt:i4>0</vt:i4>
      </vt:variant>
      <vt:variant>
        <vt:i4>5</vt:i4>
      </vt:variant>
      <vt:variant>
        <vt:lpwstr/>
      </vt:variant>
      <vt:variant>
        <vt:lpwstr>_Toc425983918</vt:lpwstr>
      </vt:variant>
      <vt:variant>
        <vt:i4>1966128</vt:i4>
      </vt:variant>
      <vt:variant>
        <vt:i4>599</vt:i4>
      </vt:variant>
      <vt:variant>
        <vt:i4>0</vt:i4>
      </vt:variant>
      <vt:variant>
        <vt:i4>5</vt:i4>
      </vt:variant>
      <vt:variant>
        <vt:lpwstr/>
      </vt:variant>
      <vt:variant>
        <vt:lpwstr>_Toc425983917</vt:lpwstr>
      </vt:variant>
      <vt:variant>
        <vt:i4>1966128</vt:i4>
      </vt:variant>
      <vt:variant>
        <vt:i4>593</vt:i4>
      </vt:variant>
      <vt:variant>
        <vt:i4>0</vt:i4>
      </vt:variant>
      <vt:variant>
        <vt:i4>5</vt:i4>
      </vt:variant>
      <vt:variant>
        <vt:lpwstr/>
      </vt:variant>
      <vt:variant>
        <vt:lpwstr>_Toc425983916</vt:lpwstr>
      </vt:variant>
      <vt:variant>
        <vt:i4>1966128</vt:i4>
      </vt:variant>
      <vt:variant>
        <vt:i4>587</vt:i4>
      </vt:variant>
      <vt:variant>
        <vt:i4>0</vt:i4>
      </vt:variant>
      <vt:variant>
        <vt:i4>5</vt:i4>
      </vt:variant>
      <vt:variant>
        <vt:lpwstr/>
      </vt:variant>
      <vt:variant>
        <vt:lpwstr>_Toc425983915</vt:lpwstr>
      </vt:variant>
      <vt:variant>
        <vt:i4>1966128</vt:i4>
      </vt:variant>
      <vt:variant>
        <vt:i4>581</vt:i4>
      </vt:variant>
      <vt:variant>
        <vt:i4>0</vt:i4>
      </vt:variant>
      <vt:variant>
        <vt:i4>5</vt:i4>
      </vt:variant>
      <vt:variant>
        <vt:lpwstr/>
      </vt:variant>
      <vt:variant>
        <vt:lpwstr>_Toc425983914</vt:lpwstr>
      </vt:variant>
      <vt:variant>
        <vt:i4>1966128</vt:i4>
      </vt:variant>
      <vt:variant>
        <vt:i4>575</vt:i4>
      </vt:variant>
      <vt:variant>
        <vt:i4>0</vt:i4>
      </vt:variant>
      <vt:variant>
        <vt:i4>5</vt:i4>
      </vt:variant>
      <vt:variant>
        <vt:lpwstr/>
      </vt:variant>
      <vt:variant>
        <vt:lpwstr>_Toc425983913</vt:lpwstr>
      </vt:variant>
      <vt:variant>
        <vt:i4>1966128</vt:i4>
      </vt:variant>
      <vt:variant>
        <vt:i4>569</vt:i4>
      </vt:variant>
      <vt:variant>
        <vt:i4>0</vt:i4>
      </vt:variant>
      <vt:variant>
        <vt:i4>5</vt:i4>
      </vt:variant>
      <vt:variant>
        <vt:lpwstr/>
      </vt:variant>
      <vt:variant>
        <vt:lpwstr>_Toc425983912</vt:lpwstr>
      </vt:variant>
      <vt:variant>
        <vt:i4>1966128</vt:i4>
      </vt:variant>
      <vt:variant>
        <vt:i4>563</vt:i4>
      </vt:variant>
      <vt:variant>
        <vt:i4>0</vt:i4>
      </vt:variant>
      <vt:variant>
        <vt:i4>5</vt:i4>
      </vt:variant>
      <vt:variant>
        <vt:lpwstr/>
      </vt:variant>
      <vt:variant>
        <vt:lpwstr>_Toc425983911</vt:lpwstr>
      </vt:variant>
      <vt:variant>
        <vt:i4>1966128</vt:i4>
      </vt:variant>
      <vt:variant>
        <vt:i4>557</vt:i4>
      </vt:variant>
      <vt:variant>
        <vt:i4>0</vt:i4>
      </vt:variant>
      <vt:variant>
        <vt:i4>5</vt:i4>
      </vt:variant>
      <vt:variant>
        <vt:lpwstr/>
      </vt:variant>
      <vt:variant>
        <vt:lpwstr>_Toc425983910</vt:lpwstr>
      </vt:variant>
      <vt:variant>
        <vt:i4>2031664</vt:i4>
      </vt:variant>
      <vt:variant>
        <vt:i4>551</vt:i4>
      </vt:variant>
      <vt:variant>
        <vt:i4>0</vt:i4>
      </vt:variant>
      <vt:variant>
        <vt:i4>5</vt:i4>
      </vt:variant>
      <vt:variant>
        <vt:lpwstr/>
      </vt:variant>
      <vt:variant>
        <vt:lpwstr>_Toc425983909</vt:lpwstr>
      </vt:variant>
      <vt:variant>
        <vt:i4>2031664</vt:i4>
      </vt:variant>
      <vt:variant>
        <vt:i4>545</vt:i4>
      </vt:variant>
      <vt:variant>
        <vt:i4>0</vt:i4>
      </vt:variant>
      <vt:variant>
        <vt:i4>5</vt:i4>
      </vt:variant>
      <vt:variant>
        <vt:lpwstr/>
      </vt:variant>
      <vt:variant>
        <vt:lpwstr>_Toc425983908</vt:lpwstr>
      </vt:variant>
      <vt:variant>
        <vt:i4>2031664</vt:i4>
      </vt:variant>
      <vt:variant>
        <vt:i4>539</vt:i4>
      </vt:variant>
      <vt:variant>
        <vt:i4>0</vt:i4>
      </vt:variant>
      <vt:variant>
        <vt:i4>5</vt:i4>
      </vt:variant>
      <vt:variant>
        <vt:lpwstr/>
      </vt:variant>
      <vt:variant>
        <vt:lpwstr>_Toc425983907</vt:lpwstr>
      </vt:variant>
      <vt:variant>
        <vt:i4>2031664</vt:i4>
      </vt:variant>
      <vt:variant>
        <vt:i4>533</vt:i4>
      </vt:variant>
      <vt:variant>
        <vt:i4>0</vt:i4>
      </vt:variant>
      <vt:variant>
        <vt:i4>5</vt:i4>
      </vt:variant>
      <vt:variant>
        <vt:lpwstr/>
      </vt:variant>
      <vt:variant>
        <vt:lpwstr>_Toc425983906</vt:lpwstr>
      </vt:variant>
      <vt:variant>
        <vt:i4>2031664</vt:i4>
      </vt:variant>
      <vt:variant>
        <vt:i4>527</vt:i4>
      </vt:variant>
      <vt:variant>
        <vt:i4>0</vt:i4>
      </vt:variant>
      <vt:variant>
        <vt:i4>5</vt:i4>
      </vt:variant>
      <vt:variant>
        <vt:lpwstr/>
      </vt:variant>
      <vt:variant>
        <vt:lpwstr>_Toc425983905</vt:lpwstr>
      </vt:variant>
      <vt:variant>
        <vt:i4>2031664</vt:i4>
      </vt:variant>
      <vt:variant>
        <vt:i4>521</vt:i4>
      </vt:variant>
      <vt:variant>
        <vt:i4>0</vt:i4>
      </vt:variant>
      <vt:variant>
        <vt:i4>5</vt:i4>
      </vt:variant>
      <vt:variant>
        <vt:lpwstr/>
      </vt:variant>
      <vt:variant>
        <vt:lpwstr>_Toc425983904</vt:lpwstr>
      </vt:variant>
      <vt:variant>
        <vt:i4>2031664</vt:i4>
      </vt:variant>
      <vt:variant>
        <vt:i4>515</vt:i4>
      </vt:variant>
      <vt:variant>
        <vt:i4>0</vt:i4>
      </vt:variant>
      <vt:variant>
        <vt:i4>5</vt:i4>
      </vt:variant>
      <vt:variant>
        <vt:lpwstr/>
      </vt:variant>
      <vt:variant>
        <vt:lpwstr>_Toc425983903</vt:lpwstr>
      </vt:variant>
      <vt:variant>
        <vt:i4>2031664</vt:i4>
      </vt:variant>
      <vt:variant>
        <vt:i4>509</vt:i4>
      </vt:variant>
      <vt:variant>
        <vt:i4>0</vt:i4>
      </vt:variant>
      <vt:variant>
        <vt:i4>5</vt:i4>
      </vt:variant>
      <vt:variant>
        <vt:lpwstr/>
      </vt:variant>
      <vt:variant>
        <vt:lpwstr>_Toc425983902</vt:lpwstr>
      </vt:variant>
      <vt:variant>
        <vt:i4>2031664</vt:i4>
      </vt:variant>
      <vt:variant>
        <vt:i4>503</vt:i4>
      </vt:variant>
      <vt:variant>
        <vt:i4>0</vt:i4>
      </vt:variant>
      <vt:variant>
        <vt:i4>5</vt:i4>
      </vt:variant>
      <vt:variant>
        <vt:lpwstr/>
      </vt:variant>
      <vt:variant>
        <vt:lpwstr>_Toc425983901</vt:lpwstr>
      </vt:variant>
      <vt:variant>
        <vt:i4>2031664</vt:i4>
      </vt:variant>
      <vt:variant>
        <vt:i4>497</vt:i4>
      </vt:variant>
      <vt:variant>
        <vt:i4>0</vt:i4>
      </vt:variant>
      <vt:variant>
        <vt:i4>5</vt:i4>
      </vt:variant>
      <vt:variant>
        <vt:lpwstr/>
      </vt:variant>
      <vt:variant>
        <vt:lpwstr>_Toc425983900</vt:lpwstr>
      </vt:variant>
      <vt:variant>
        <vt:i4>1441841</vt:i4>
      </vt:variant>
      <vt:variant>
        <vt:i4>491</vt:i4>
      </vt:variant>
      <vt:variant>
        <vt:i4>0</vt:i4>
      </vt:variant>
      <vt:variant>
        <vt:i4>5</vt:i4>
      </vt:variant>
      <vt:variant>
        <vt:lpwstr/>
      </vt:variant>
      <vt:variant>
        <vt:lpwstr>_Toc425983899</vt:lpwstr>
      </vt:variant>
      <vt:variant>
        <vt:i4>1441841</vt:i4>
      </vt:variant>
      <vt:variant>
        <vt:i4>485</vt:i4>
      </vt:variant>
      <vt:variant>
        <vt:i4>0</vt:i4>
      </vt:variant>
      <vt:variant>
        <vt:i4>5</vt:i4>
      </vt:variant>
      <vt:variant>
        <vt:lpwstr/>
      </vt:variant>
      <vt:variant>
        <vt:lpwstr>_Toc425983898</vt:lpwstr>
      </vt:variant>
      <vt:variant>
        <vt:i4>1441841</vt:i4>
      </vt:variant>
      <vt:variant>
        <vt:i4>479</vt:i4>
      </vt:variant>
      <vt:variant>
        <vt:i4>0</vt:i4>
      </vt:variant>
      <vt:variant>
        <vt:i4>5</vt:i4>
      </vt:variant>
      <vt:variant>
        <vt:lpwstr/>
      </vt:variant>
      <vt:variant>
        <vt:lpwstr>_Toc425983897</vt:lpwstr>
      </vt:variant>
      <vt:variant>
        <vt:i4>1441841</vt:i4>
      </vt:variant>
      <vt:variant>
        <vt:i4>473</vt:i4>
      </vt:variant>
      <vt:variant>
        <vt:i4>0</vt:i4>
      </vt:variant>
      <vt:variant>
        <vt:i4>5</vt:i4>
      </vt:variant>
      <vt:variant>
        <vt:lpwstr/>
      </vt:variant>
      <vt:variant>
        <vt:lpwstr>_Toc425983896</vt:lpwstr>
      </vt:variant>
      <vt:variant>
        <vt:i4>1441841</vt:i4>
      </vt:variant>
      <vt:variant>
        <vt:i4>467</vt:i4>
      </vt:variant>
      <vt:variant>
        <vt:i4>0</vt:i4>
      </vt:variant>
      <vt:variant>
        <vt:i4>5</vt:i4>
      </vt:variant>
      <vt:variant>
        <vt:lpwstr/>
      </vt:variant>
      <vt:variant>
        <vt:lpwstr>_Toc425983895</vt:lpwstr>
      </vt:variant>
      <vt:variant>
        <vt:i4>1441841</vt:i4>
      </vt:variant>
      <vt:variant>
        <vt:i4>461</vt:i4>
      </vt:variant>
      <vt:variant>
        <vt:i4>0</vt:i4>
      </vt:variant>
      <vt:variant>
        <vt:i4>5</vt:i4>
      </vt:variant>
      <vt:variant>
        <vt:lpwstr/>
      </vt:variant>
      <vt:variant>
        <vt:lpwstr>_Toc425983894</vt:lpwstr>
      </vt:variant>
      <vt:variant>
        <vt:i4>1441841</vt:i4>
      </vt:variant>
      <vt:variant>
        <vt:i4>455</vt:i4>
      </vt:variant>
      <vt:variant>
        <vt:i4>0</vt:i4>
      </vt:variant>
      <vt:variant>
        <vt:i4>5</vt:i4>
      </vt:variant>
      <vt:variant>
        <vt:lpwstr/>
      </vt:variant>
      <vt:variant>
        <vt:lpwstr>_Toc425983893</vt:lpwstr>
      </vt:variant>
      <vt:variant>
        <vt:i4>1441841</vt:i4>
      </vt:variant>
      <vt:variant>
        <vt:i4>449</vt:i4>
      </vt:variant>
      <vt:variant>
        <vt:i4>0</vt:i4>
      </vt:variant>
      <vt:variant>
        <vt:i4>5</vt:i4>
      </vt:variant>
      <vt:variant>
        <vt:lpwstr/>
      </vt:variant>
      <vt:variant>
        <vt:lpwstr>_Toc425983892</vt:lpwstr>
      </vt:variant>
      <vt:variant>
        <vt:i4>1441841</vt:i4>
      </vt:variant>
      <vt:variant>
        <vt:i4>443</vt:i4>
      </vt:variant>
      <vt:variant>
        <vt:i4>0</vt:i4>
      </vt:variant>
      <vt:variant>
        <vt:i4>5</vt:i4>
      </vt:variant>
      <vt:variant>
        <vt:lpwstr/>
      </vt:variant>
      <vt:variant>
        <vt:lpwstr>_Toc425983891</vt:lpwstr>
      </vt:variant>
      <vt:variant>
        <vt:i4>1441841</vt:i4>
      </vt:variant>
      <vt:variant>
        <vt:i4>437</vt:i4>
      </vt:variant>
      <vt:variant>
        <vt:i4>0</vt:i4>
      </vt:variant>
      <vt:variant>
        <vt:i4>5</vt:i4>
      </vt:variant>
      <vt:variant>
        <vt:lpwstr/>
      </vt:variant>
      <vt:variant>
        <vt:lpwstr>_Toc425983890</vt:lpwstr>
      </vt:variant>
      <vt:variant>
        <vt:i4>1507377</vt:i4>
      </vt:variant>
      <vt:variant>
        <vt:i4>431</vt:i4>
      </vt:variant>
      <vt:variant>
        <vt:i4>0</vt:i4>
      </vt:variant>
      <vt:variant>
        <vt:i4>5</vt:i4>
      </vt:variant>
      <vt:variant>
        <vt:lpwstr/>
      </vt:variant>
      <vt:variant>
        <vt:lpwstr>_Toc425983889</vt:lpwstr>
      </vt:variant>
      <vt:variant>
        <vt:i4>1507377</vt:i4>
      </vt:variant>
      <vt:variant>
        <vt:i4>425</vt:i4>
      </vt:variant>
      <vt:variant>
        <vt:i4>0</vt:i4>
      </vt:variant>
      <vt:variant>
        <vt:i4>5</vt:i4>
      </vt:variant>
      <vt:variant>
        <vt:lpwstr/>
      </vt:variant>
      <vt:variant>
        <vt:lpwstr>_Toc425983888</vt:lpwstr>
      </vt:variant>
      <vt:variant>
        <vt:i4>1507377</vt:i4>
      </vt:variant>
      <vt:variant>
        <vt:i4>419</vt:i4>
      </vt:variant>
      <vt:variant>
        <vt:i4>0</vt:i4>
      </vt:variant>
      <vt:variant>
        <vt:i4>5</vt:i4>
      </vt:variant>
      <vt:variant>
        <vt:lpwstr/>
      </vt:variant>
      <vt:variant>
        <vt:lpwstr>_Toc425983887</vt:lpwstr>
      </vt:variant>
      <vt:variant>
        <vt:i4>1507377</vt:i4>
      </vt:variant>
      <vt:variant>
        <vt:i4>413</vt:i4>
      </vt:variant>
      <vt:variant>
        <vt:i4>0</vt:i4>
      </vt:variant>
      <vt:variant>
        <vt:i4>5</vt:i4>
      </vt:variant>
      <vt:variant>
        <vt:lpwstr/>
      </vt:variant>
      <vt:variant>
        <vt:lpwstr>_Toc425983886</vt:lpwstr>
      </vt:variant>
      <vt:variant>
        <vt:i4>1507377</vt:i4>
      </vt:variant>
      <vt:variant>
        <vt:i4>407</vt:i4>
      </vt:variant>
      <vt:variant>
        <vt:i4>0</vt:i4>
      </vt:variant>
      <vt:variant>
        <vt:i4>5</vt:i4>
      </vt:variant>
      <vt:variant>
        <vt:lpwstr/>
      </vt:variant>
      <vt:variant>
        <vt:lpwstr>_Toc425983885</vt:lpwstr>
      </vt:variant>
      <vt:variant>
        <vt:i4>1507377</vt:i4>
      </vt:variant>
      <vt:variant>
        <vt:i4>401</vt:i4>
      </vt:variant>
      <vt:variant>
        <vt:i4>0</vt:i4>
      </vt:variant>
      <vt:variant>
        <vt:i4>5</vt:i4>
      </vt:variant>
      <vt:variant>
        <vt:lpwstr/>
      </vt:variant>
      <vt:variant>
        <vt:lpwstr>_Toc425983884</vt:lpwstr>
      </vt:variant>
      <vt:variant>
        <vt:i4>1507377</vt:i4>
      </vt:variant>
      <vt:variant>
        <vt:i4>395</vt:i4>
      </vt:variant>
      <vt:variant>
        <vt:i4>0</vt:i4>
      </vt:variant>
      <vt:variant>
        <vt:i4>5</vt:i4>
      </vt:variant>
      <vt:variant>
        <vt:lpwstr/>
      </vt:variant>
      <vt:variant>
        <vt:lpwstr>_Toc425983883</vt:lpwstr>
      </vt:variant>
      <vt:variant>
        <vt:i4>1507377</vt:i4>
      </vt:variant>
      <vt:variant>
        <vt:i4>389</vt:i4>
      </vt:variant>
      <vt:variant>
        <vt:i4>0</vt:i4>
      </vt:variant>
      <vt:variant>
        <vt:i4>5</vt:i4>
      </vt:variant>
      <vt:variant>
        <vt:lpwstr/>
      </vt:variant>
      <vt:variant>
        <vt:lpwstr>_Toc425983882</vt:lpwstr>
      </vt:variant>
      <vt:variant>
        <vt:i4>1507377</vt:i4>
      </vt:variant>
      <vt:variant>
        <vt:i4>383</vt:i4>
      </vt:variant>
      <vt:variant>
        <vt:i4>0</vt:i4>
      </vt:variant>
      <vt:variant>
        <vt:i4>5</vt:i4>
      </vt:variant>
      <vt:variant>
        <vt:lpwstr/>
      </vt:variant>
      <vt:variant>
        <vt:lpwstr>_Toc425983881</vt:lpwstr>
      </vt:variant>
      <vt:variant>
        <vt:i4>1507377</vt:i4>
      </vt:variant>
      <vt:variant>
        <vt:i4>377</vt:i4>
      </vt:variant>
      <vt:variant>
        <vt:i4>0</vt:i4>
      </vt:variant>
      <vt:variant>
        <vt:i4>5</vt:i4>
      </vt:variant>
      <vt:variant>
        <vt:lpwstr/>
      </vt:variant>
      <vt:variant>
        <vt:lpwstr>_Toc425983880</vt:lpwstr>
      </vt:variant>
      <vt:variant>
        <vt:i4>1572913</vt:i4>
      </vt:variant>
      <vt:variant>
        <vt:i4>371</vt:i4>
      </vt:variant>
      <vt:variant>
        <vt:i4>0</vt:i4>
      </vt:variant>
      <vt:variant>
        <vt:i4>5</vt:i4>
      </vt:variant>
      <vt:variant>
        <vt:lpwstr/>
      </vt:variant>
      <vt:variant>
        <vt:lpwstr>_Toc425983879</vt:lpwstr>
      </vt:variant>
      <vt:variant>
        <vt:i4>1572913</vt:i4>
      </vt:variant>
      <vt:variant>
        <vt:i4>365</vt:i4>
      </vt:variant>
      <vt:variant>
        <vt:i4>0</vt:i4>
      </vt:variant>
      <vt:variant>
        <vt:i4>5</vt:i4>
      </vt:variant>
      <vt:variant>
        <vt:lpwstr/>
      </vt:variant>
      <vt:variant>
        <vt:lpwstr>_Toc425983878</vt:lpwstr>
      </vt:variant>
      <vt:variant>
        <vt:i4>1572913</vt:i4>
      </vt:variant>
      <vt:variant>
        <vt:i4>359</vt:i4>
      </vt:variant>
      <vt:variant>
        <vt:i4>0</vt:i4>
      </vt:variant>
      <vt:variant>
        <vt:i4>5</vt:i4>
      </vt:variant>
      <vt:variant>
        <vt:lpwstr/>
      </vt:variant>
      <vt:variant>
        <vt:lpwstr>_Toc425983877</vt:lpwstr>
      </vt:variant>
      <vt:variant>
        <vt:i4>1572913</vt:i4>
      </vt:variant>
      <vt:variant>
        <vt:i4>353</vt:i4>
      </vt:variant>
      <vt:variant>
        <vt:i4>0</vt:i4>
      </vt:variant>
      <vt:variant>
        <vt:i4>5</vt:i4>
      </vt:variant>
      <vt:variant>
        <vt:lpwstr/>
      </vt:variant>
      <vt:variant>
        <vt:lpwstr>_Toc425983876</vt:lpwstr>
      </vt:variant>
      <vt:variant>
        <vt:i4>1572913</vt:i4>
      </vt:variant>
      <vt:variant>
        <vt:i4>347</vt:i4>
      </vt:variant>
      <vt:variant>
        <vt:i4>0</vt:i4>
      </vt:variant>
      <vt:variant>
        <vt:i4>5</vt:i4>
      </vt:variant>
      <vt:variant>
        <vt:lpwstr/>
      </vt:variant>
      <vt:variant>
        <vt:lpwstr>_Toc425983875</vt:lpwstr>
      </vt:variant>
      <vt:variant>
        <vt:i4>1572913</vt:i4>
      </vt:variant>
      <vt:variant>
        <vt:i4>341</vt:i4>
      </vt:variant>
      <vt:variant>
        <vt:i4>0</vt:i4>
      </vt:variant>
      <vt:variant>
        <vt:i4>5</vt:i4>
      </vt:variant>
      <vt:variant>
        <vt:lpwstr/>
      </vt:variant>
      <vt:variant>
        <vt:lpwstr>_Toc425983874</vt:lpwstr>
      </vt:variant>
      <vt:variant>
        <vt:i4>1572913</vt:i4>
      </vt:variant>
      <vt:variant>
        <vt:i4>335</vt:i4>
      </vt:variant>
      <vt:variant>
        <vt:i4>0</vt:i4>
      </vt:variant>
      <vt:variant>
        <vt:i4>5</vt:i4>
      </vt:variant>
      <vt:variant>
        <vt:lpwstr/>
      </vt:variant>
      <vt:variant>
        <vt:lpwstr>_Toc425983873</vt:lpwstr>
      </vt:variant>
      <vt:variant>
        <vt:i4>1572913</vt:i4>
      </vt:variant>
      <vt:variant>
        <vt:i4>326</vt:i4>
      </vt:variant>
      <vt:variant>
        <vt:i4>0</vt:i4>
      </vt:variant>
      <vt:variant>
        <vt:i4>5</vt:i4>
      </vt:variant>
      <vt:variant>
        <vt:lpwstr/>
      </vt:variant>
      <vt:variant>
        <vt:lpwstr>_Toc425983872</vt:lpwstr>
      </vt:variant>
      <vt:variant>
        <vt:i4>1572913</vt:i4>
      </vt:variant>
      <vt:variant>
        <vt:i4>320</vt:i4>
      </vt:variant>
      <vt:variant>
        <vt:i4>0</vt:i4>
      </vt:variant>
      <vt:variant>
        <vt:i4>5</vt:i4>
      </vt:variant>
      <vt:variant>
        <vt:lpwstr/>
      </vt:variant>
      <vt:variant>
        <vt:lpwstr>_Toc425983871</vt:lpwstr>
      </vt:variant>
      <vt:variant>
        <vt:i4>1572913</vt:i4>
      </vt:variant>
      <vt:variant>
        <vt:i4>314</vt:i4>
      </vt:variant>
      <vt:variant>
        <vt:i4>0</vt:i4>
      </vt:variant>
      <vt:variant>
        <vt:i4>5</vt:i4>
      </vt:variant>
      <vt:variant>
        <vt:lpwstr/>
      </vt:variant>
      <vt:variant>
        <vt:lpwstr>_Toc425983870</vt:lpwstr>
      </vt:variant>
      <vt:variant>
        <vt:i4>1638449</vt:i4>
      </vt:variant>
      <vt:variant>
        <vt:i4>308</vt:i4>
      </vt:variant>
      <vt:variant>
        <vt:i4>0</vt:i4>
      </vt:variant>
      <vt:variant>
        <vt:i4>5</vt:i4>
      </vt:variant>
      <vt:variant>
        <vt:lpwstr/>
      </vt:variant>
      <vt:variant>
        <vt:lpwstr>_Toc425983869</vt:lpwstr>
      </vt:variant>
      <vt:variant>
        <vt:i4>1638449</vt:i4>
      </vt:variant>
      <vt:variant>
        <vt:i4>302</vt:i4>
      </vt:variant>
      <vt:variant>
        <vt:i4>0</vt:i4>
      </vt:variant>
      <vt:variant>
        <vt:i4>5</vt:i4>
      </vt:variant>
      <vt:variant>
        <vt:lpwstr/>
      </vt:variant>
      <vt:variant>
        <vt:lpwstr>_Toc425983868</vt:lpwstr>
      </vt:variant>
      <vt:variant>
        <vt:i4>1638449</vt:i4>
      </vt:variant>
      <vt:variant>
        <vt:i4>296</vt:i4>
      </vt:variant>
      <vt:variant>
        <vt:i4>0</vt:i4>
      </vt:variant>
      <vt:variant>
        <vt:i4>5</vt:i4>
      </vt:variant>
      <vt:variant>
        <vt:lpwstr/>
      </vt:variant>
      <vt:variant>
        <vt:lpwstr>_Toc425983867</vt:lpwstr>
      </vt:variant>
      <vt:variant>
        <vt:i4>1638449</vt:i4>
      </vt:variant>
      <vt:variant>
        <vt:i4>290</vt:i4>
      </vt:variant>
      <vt:variant>
        <vt:i4>0</vt:i4>
      </vt:variant>
      <vt:variant>
        <vt:i4>5</vt:i4>
      </vt:variant>
      <vt:variant>
        <vt:lpwstr/>
      </vt:variant>
      <vt:variant>
        <vt:lpwstr>_Toc425983866</vt:lpwstr>
      </vt:variant>
      <vt:variant>
        <vt:i4>1638449</vt:i4>
      </vt:variant>
      <vt:variant>
        <vt:i4>284</vt:i4>
      </vt:variant>
      <vt:variant>
        <vt:i4>0</vt:i4>
      </vt:variant>
      <vt:variant>
        <vt:i4>5</vt:i4>
      </vt:variant>
      <vt:variant>
        <vt:lpwstr/>
      </vt:variant>
      <vt:variant>
        <vt:lpwstr>_Toc425983865</vt:lpwstr>
      </vt:variant>
      <vt:variant>
        <vt:i4>1638449</vt:i4>
      </vt:variant>
      <vt:variant>
        <vt:i4>278</vt:i4>
      </vt:variant>
      <vt:variant>
        <vt:i4>0</vt:i4>
      </vt:variant>
      <vt:variant>
        <vt:i4>5</vt:i4>
      </vt:variant>
      <vt:variant>
        <vt:lpwstr/>
      </vt:variant>
      <vt:variant>
        <vt:lpwstr>_Toc425983864</vt:lpwstr>
      </vt:variant>
      <vt:variant>
        <vt:i4>1638449</vt:i4>
      </vt:variant>
      <vt:variant>
        <vt:i4>272</vt:i4>
      </vt:variant>
      <vt:variant>
        <vt:i4>0</vt:i4>
      </vt:variant>
      <vt:variant>
        <vt:i4>5</vt:i4>
      </vt:variant>
      <vt:variant>
        <vt:lpwstr/>
      </vt:variant>
      <vt:variant>
        <vt:lpwstr>_Toc425983863</vt:lpwstr>
      </vt:variant>
      <vt:variant>
        <vt:i4>1638449</vt:i4>
      </vt:variant>
      <vt:variant>
        <vt:i4>266</vt:i4>
      </vt:variant>
      <vt:variant>
        <vt:i4>0</vt:i4>
      </vt:variant>
      <vt:variant>
        <vt:i4>5</vt:i4>
      </vt:variant>
      <vt:variant>
        <vt:lpwstr/>
      </vt:variant>
      <vt:variant>
        <vt:lpwstr>_Toc425983862</vt:lpwstr>
      </vt:variant>
      <vt:variant>
        <vt:i4>1638449</vt:i4>
      </vt:variant>
      <vt:variant>
        <vt:i4>260</vt:i4>
      </vt:variant>
      <vt:variant>
        <vt:i4>0</vt:i4>
      </vt:variant>
      <vt:variant>
        <vt:i4>5</vt:i4>
      </vt:variant>
      <vt:variant>
        <vt:lpwstr/>
      </vt:variant>
      <vt:variant>
        <vt:lpwstr>_Toc425983861</vt:lpwstr>
      </vt:variant>
      <vt:variant>
        <vt:i4>1638449</vt:i4>
      </vt:variant>
      <vt:variant>
        <vt:i4>254</vt:i4>
      </vt:variant>
      <vt:variant>
        <vt:i4>0</vt:i4>
      </vt:variant>
      <vt:variant>
        <vt:i4>5</vt:i4>
      </vt:variant>
      <vt:variant>
        <vt:lpwstr/>
      </vt:variant>
      <vt:variant>
        <vt:lpwstr>_Toc425983860</vt:lpwstr>
      </vt:variant>
      <vt:variant>
        <vt:i4>1703985</vt:i4>
      </vt:variant>
      <vt:variant>
        <vt:i4>248</vt:i4>
      </vt:variant>
      <vt:variant>
        <vt:i4>0</vt:i4>
      </vt:variant>
      <vt:variant>
        <vt:i4>5</vt:i4>
      </vt:variant>
      <vt:variant>
        <vt:lpwstr/>
      </vt:variant>
      <vt:variant>
        <vt:lpwstr>_Toc425983859</vt:lpwstr>
      </vt:variant>
      <vt:variant>
        <vt:i4>1703985</vt:i4>
      </vt:variant>
      <vt:variant>
        <vt:i4>242</vt:i4>
      </vt:variant>
      <vt:variant>
        <vt:i4>0</vt:i4>
      </vt:variant>
      <vt:variant>
        <vt:i4>5</vt:i4>
      </vt:variant>
      <vt:variant>
        <vt:lpwstr/>
      </vt:variant>
      <vt:variant>
        <vt:lpwstr>_Toc425983858</vt:lpwstr>
      </vt:variant>
      <vt:variant>
        <vt:i4>1703985</vt:i4>
      </vt:variant>
      <vt:variant>
        <vt:i4>236</vt:i4>
      </vt:variant>
      <vt:variant>
        <vt:i4>0</vt:i4>
      </vt:variant>
      <vt:variant>
        <vt:i4>5</vt:i4>
      </vt:variant>
      <vt:variant>
        <vt:lpwstr/>
      </vt:variant>
      <vt:variant>
        <vt:lpwstr>_Toc425983857</vt:lpwstr>
      </vt:variant>
      <vt:variant>
        <vt:i4>1703985</vt:i4>
      </vt:variant>
      <vt:variant>
        <vt:i4>230</vt:i4>
      </vt:variant>
      <vt:variant>
        <vt:i4>0</vt:i4>
      </vt:variant>
      <vt:variant>
        <vt:i4>5</vt:i4>
      </vt:variant>
      <vt:variant>
        <vt:lpwstr/>
      </vt:variant>
      <vt:variant>
        <vt:lpwstr>_Toc425983856</vt:lpwstr>
      </vt:variant>
      <vt:variant>
        <vt:i4>1703985</vt:i4>
      </vt:variant>
      <vt:variant>
        <vt:i4>224</vt:i4>
      </vt:variant>
      <vt:variant>
        <vt:i4>0</vt:i4>
      </vt:variant>
      <vt:variant>
        <vt:i4>5</vt:i4>
      </vt:variant>
      <vt:variant>
        <vt:lpwstr/>
      </vt:variant>
      <vt:variant>
        <vt:lpwstr>_Toc425983855</vt:lpwstr>
      </vt:variant>
      <vt:variant>
        <vt:i4>1703985</vt:i4>
      </vt:variant>
      <vt:variant>
        <vt:i4>218</vt:i4>
      </vt:variant>
      <vt:variant>
        <vt:i4>0</vt:i4>
      </vt:variant>
      <vt:variant>
        <vt:i4>5</vt:i4>
      </vt:variant>
      <vt:variant>
        <vt:lpwstr/>
      </vt:variant>
      <vt:variant>
        <vt:lpwstr>_Toc425983854</vt:lpwstr>
      </vt:variant>
      <vt:variant>
        <vt:i4>1703985</vt:i4>
      </vt:variant>
      <vt:variant>
        <vt:i4>212</vt:i4>
      </vt:variant>
      <vt:variant>
        <vt:i4>0</vt:i4>
      </vt:variant>
      <vt:variant>
        <vt:i4>5</vt:i4>
      </vt:variant>
      <vt:variant>
        <vt:lpwstr/>
      </vt:variant>
      <vt:variant>
        <vt:lpwstr>_Toc425983853</vt:lpwstr>
      </vt:variant>
      <vt:variant>
        <vt:i4>1703985</vt:i4>
      </vt:variant>
      <vt:variant>
        <vt:i4>206</vt:i4>
      </vt:variant>
      <vt:variant>
        <vt:i4>0</vt:i4>
      </vt:variant>
      <vt:variant>
        <vt:i4>5</vt:i4>
      </vt:variant>
      <vt:variant>
        <vt:lpwstr/>
      </vt:variant>
      <vt:variant>
        <vt:lpwstr>_Toc425983852</vt:lpwstr>
      </vt:variant>
      <vt:variant>
        <vt:i4>1703985</vt:i4>
      </vt:variant>
      <vt:variant>
        <vt:i4>200</vt:i4>
      </vt:variant>
      <vt:variant>
        <vt:i4>0</vt:i4>
      </vt:variant>
      <vt:variant>
        <vt:i4>5</vt:i4>
      </vt:variant>
      <vt:variant>
        <vt:lpwstr/>
      </vt:variant>
      <vt:variant>
        <vt:lpwstr>_Toc425983851</vt:lpwstr>
      </vt:variant>
      <vt:variant>
        <vt:i4>1703985</vt:i4>
      </vt:variant>
      <vt:variant>
        <vt:i4>194</vt:i4>
      </vt:variant>
      <vt:variant>
        <vt:i4>0</vt:i4>
      </vt:variant>
      <vt:variant>
        <vt:i4>5</vt:i4>
      </vt:variant>
      <vt:variant>
        <vt:lpwstr/>
      </vt:variant>
      <vt:variant>
        <vt:lpwstr>_Toc425983850</vt:lpwstr>
      </vt:variant>
      <vt:variant>
        <vt:i4>1769521</vt:i4>
      </vt:variant>
      <vt:variant>
        <vt:i4>188</vt:i4>
      </vt:variant>
      <vt:variant>
        <vt:i4>0</vt:i4>
      </vt:variant>
      <vt:variant>
        <vt:i4>5</vt:i4>
      </vt:variant>
      <vt:variant>
        <vt:lpwstr/>
      </vt:variant>
      <vt:variant>
        <vt:lpwstr>_Toc425983849</vt:lpwstr>
      </vt:variant>
      <vt:variant>
        <vt:i4>1769521</vt:i4>
      </vt:variant>
      <vt:variant>
        <vt:i4>182</vt:i4>
      </vt:variant>
      <vt:variant>
        <vt:i4>0</vt:i4>
      </vt:variant>
      <vt:variant>
        <vt:i4>5</vt:i4>
      </vt:variant>
      <vt:variant>
        <vt:lpwstr/>
      </vt:variant>
      <vt:variant>
        <vt:lpwstr>_Toc425983848</vt:lpwstr>
      </vt:variant>
      <vt:variant>
        <vt:i4>1769521</vt:i4>
      </vt:variant>
      <vt:variant>
        <vt:i4>176</vt:i4>
      </vt:variant>
      <vt:variant>
        <vt:i4>0</vt:i4>
      </vt:variant>
      <vt:variant>
        <vt:i4>5</vt:i4>
      </vt:variant>
      <vt:variant>
        <vt:lpwstr/>
      </vt:variant>
      <vt:variant>
        <vt:lpwstr>_Toc425983847</vt:lpwstr>
      </vt:variant>
      <vt:variant>
        <vt:i4>1769521</vt:i4>
      </vt:variant>
      <vt:variant>
        <vt:i4>170</vt:i4>
      </vt:variant>
      <vt:variant>
        <vt:i4>0</vt:i4>
      </vt:variant>
      <vt:variant>
        <vt:i4>5</vt:i4>
      </vt:variant>
      <vt:variant>
        <vt:lpwstr/>
      </vt:variant>
      <vt:variant>
        <vt:lpwstr>_Toc425983846</vt:lpwstr>
      </vt:variant>
      <vt:variant>
        <vt:i4>1769521</vt:i4>
      </vt:variant>
      <vt:variant>
        <vt:i4>164</vt:i4>
      </vt:variant>
      <vt:variant>
        <vt:i4>0</vt:i4>
      </vt:variant>
      <vt:variant>
        <vt:i4>5</vt:i4>
      </vt:variant>
      <vt:variant>
        <vt:lpwstr/>
      </vt:variant>
      <vt:variant>
        <vt:lpwstr>_Toc425983845</vt:lpwstr>
      </vt:variant>
      <vt:variant>
        <vt:i4>1769521</vt:i4>
      </vt:variant>
      <vt:variant>
        <vt:i4>158</vt:i4>
      </vt:variant>
      <vt:variant>
        <vt:i4>0</vt:i4>
      </vt:variant>
      <vt:variant>
        <vt:i4>5</vt:i4>
      </vt:variant>
      <vt:variant>
        <vt:lpwstr/>
      </vt:variant>
      <vt:variant>
        <vt:lpwstr>_Toc425983844</vt:lpwstr>
      </vt:variant>
      <vt:variant>
        <vt:i4>1769521</vt:i4>
      </vt:variant>
      <vt:variant>
        <vt:i4>152</vt:i4>
      </vt:variant>
      <vt:variant>
        <vt:i4>0</vt:i4>
      </vt:variant>
      <vt:variant>
        <vt:i4>5</vt:i4>
      </vt:variant>
      <vt:variant>
        <vt:lpwstr/>
      </vt:variant>
      <vt:variant>
        <vt:lpwstr>_Toc425983843</vt:lpwstr>
      </vt:variant>
      <vt:variant>
        <vt:i4>1769521</vt:i4>
      </vt:variant>
      <vt:variant>
        <vt:i4>146</vt:i4>
      </vt:variant>
      <vt:variant>
        <vt:i4>0</vt:i4>
      </vt:variant>
      <vt:variant>
        <vt:i4>5</vt:i4>
      </vt:variant>
      <vt:variant>
        <vt:lpwstr/>
      </vt:variant>
      <vt:variant>
        <vt:lpwstr>_Toc425983842</vt:lpwstr>
      </vt:variant>
      <vt:variant>
        <vt:i4>1769521</vt:i4>
      </vt:variant>
      <vt:variant>
        <vt:i4>140</vt:i4>
      </vt:variant>
      <vt:variant>
        <vt:i4>0</vt:i4>
      </vt:variant>
      <vt:variant>
        <vt:i4>5</vt:i4>
      </vt:variant>
      <vt:variant>
        <vt:lpwstr/>
      </vt:variant>
      <vt:variant>
        <vt:lpwstr>_Toc425983841</vt:lpwstr>
      </vt:variant>
      <vt:variant>
        <vt:i4>1769521</vt:i4>
      </vt:variant>
      <vt:variant>
        <vt:i4>134</vt:i4>
      </vt:variant>
      <vt:variant>
        <vt:i4>0</vt:i4>
      </vt:variant>
      <vt:variant>
        <vt:i4>5</vt:i4>
      </vt:variant>
      <vt:variant>
        <vt:lpwstr/>
      </vt:variant>
      <vt:variant>
        <vt:lpwstr>_Toc425983840</vt:lpwstr>
      </vt:variant>
      <vt:variant>
        <vt:i4>1835057</vt:i4>
      </vt:variant>
      <vt:variant>
        <vt:i4>128</vt:i4>
      </vt:variant>
      <vt:variant>
        <vt:i4>0</vt:i4>
      </vt:variant>
      <vt:variant>
        <vt:i4>5</vt:i4>
      </vt:variant>
      <vt:variant>
        <vt:lpwstr/>
      </vt:variant>
      <vt:variant>
        <vt:lpwstr>_Toc425983839</vt:lpwstr>
      </vt:variant>
      <vt:variant>
        <vt:i4>1835057</vt:i4>
      </vt:variant>
      <vt:variant>
        <vt:i4>122</vt:i4>
      </vt:variant>
      <vt:variant>
        <vt:i4>0</vt:i4>
      </vt:variant>
      <vt:variant>
        <vt:i4>5</vt:i4>
      </vt:variant>
      <vt:variant>
        <vt:lpwstr/>
      </vt:variant>
      <vt:variant>
        <vt:lpwstr>_Toc425983838</vt:lpwstr>
      </vt:variant>
      <vt:variant>
        <vt:i4>1835057</vt:i4>
      </vt:variant>
      <vt:variant>
        <vt:i4>116</vt:i4>
      </vt:variant>
      <vt:variant>
        <vt:i4>0</vt:i4>
      </vt:variant>
      <vt:variant>
        <vt:i4>5</vt:i4>
      </vt:variant>
      <vt:variant>
        <vt:lpwstr/>
      </vt:variant>
      <vt:variant>
        <vt:lpwstr>_Toc425983837</vt:lpwstr>
      </vt:variant>
      <vt:variant>
        <vt:i4>1835057</vt:i4>
      </vt:variant>
      <vt:variant>
        <vt:i4>110</vt:i4>
      </vt:variant>
      <vt:variant>
        <vt:i4>0</vt:i4>
      </vt:variant>
      <vt:variant>
        <vt:i4>5</vt:i4>
      </vt:variant>
      <vt:variant>
        <vt:lpwstr/>
      </vt:variant>
      <vt:variant>
        <vt:lpwstr>_Toc425983836</vt:lpwstr>
      </vt:variant>
      <vt:variant>
        <vt:i4>1835057</vt:i4>
      </vt:variant>
      <vt:variant>
        <vt:i4>104</vt:i4>
      </vt:variant>
      <vt:variant>
        <vt:i4>0</vt:i4>
      </vt:variant>
      <vt:variant>
        <vt:i4>5</vt:i4>
      </vt:variant>
      <vt:variant>
        <vt:lpwstr/>
      </vt:variant>
      <vt:variant>
        <vt:lpwstr>_Toc425983835</vt:lpwstr>
      </vt:variant>
      <vt:variant>
        <vt:i4>1835057</vt:i4>
      </vt:variant>
      <vt:variant>
        <vt:i4>98</vt:i4>
      </vt:variant>
      <vt:variant>
        <vt:i4>0</vt:i4>
      </vt:variant>
      <vt:variant>
        <vt:i4>5</vt:i4>
      </vt:variant>
      <vt:variant>
        <vt:lpwstr/>
      </vt:variant>
      <vt:variant>
        <vt:lpwstr>_Toc425983834</vt:lpwstr>
      </vt:variant>
      <vt:variant>
        <vt:i4>1835057</vt:i4>
      </vt:variant>
      <vt:variant>
        <vt:i4>92</vt:i4>
      </vt:variant>
      <vt:variant>
        <vt:i4>0</vt:i4>
      </vt:variant>
      <vt:variant>
        <vt:i4>5</vt:i4>
      </vt:variant>
      <vt:variant>
        <vt:lpwstr/>
      </vt:variant>
      <vt:variant>
        <vt:lpwstr>_Toc425983833</vt:lpwstr>
      </vt:variant>
      <vt:variant>
        <vt:i4>1835057</vt:i4>
      </vt:variant>
      <vt:variant>
        <vt:i4>86</vt:i4>
      </vt:variant>
      <vt:variant>
        <vt:i4>0</vt:i4>
      </vt:variant>
      <vt:variant>
        <vt:i4>5</vt:i4>
      </vt:variant>
      <vt:variant>
        <vt:lpwstr/>
      </vt:variant>
      <vt:variant>
        <vt:lpwstr>_Toc425983832</vt:lpwstr>
      </vt:variant>
      <vt:variant>
        <vt:i4>1835057</vt:i4>
      </vt:variant>
      <vt:variant>
        <vt:i4>80</vt:i4>
      </vt:variant>
      <vt:variant>
        <vt:i4>0</vt:i4>
      </vt:variant>
      <vt:variant>
        <vt:i4>5</vt:i4>
      </vt:variant>
      <vt:variant>
        <vt:lpwstr/>
      </vt:variant>
      <vt:variant>
        <vt:lpwstr>_Toc425983831</vt:lpwstr>
      </vt:variant>
      <vt:variant>
        <vt:i4>1835057</vt:i4>
      </vt:variant>
      <vt:variant>
        <vt:i4>74</vt:i4>
      </vt:variant>
      <vt:variant>
        <vt:i4>0</vt:i4>
      </vt:variant>
      <vt:variant>
        <vt:i4>5</vt:i4>
      </vt:variant>
      <vt:variant>
        <vt:lpwstr/>
      </vt:variant>
      <vt:variant>
        <vt:lpwstr>_Toc425983830</vt:lpwstr>
      </vt:variant>
      <vt:variant>
        <vt:i4>1900593</vt:i4>
      </vt:variant>
      <vt:variant>
        <vt:i4>68</vt:i4>
      </vt:variant>
      <vt:variant>
        <vt:i4>0</vt:i4>
      </vt:variant>
      <vt:variant>
        <vt:i4>5</vt:i4>
      </vt:variant>
      <vt:variant>
        <vt:lpwstr/>
      </vt:variant>
      <vt:variant>
        <vt:lpwstr>_Toc425983829</vt:lpwstr>
      </vt:variant>
      <vt:variant>
        <vt:i4>1900593</vt:i4>
      </vt:variant>
      <vt:variant>
        <vt:i4>62</vt:i4>
      </vt:variant>
      <vt:variant>
        <vt:i4>0</vt:i4>
      </vt:variant>
      <vt:variant>
        <vt:i4>5</vt:i4>
      </vt:variant>
      <vt:variant>
        <vt:lpwstr/>
      </vt:variant>
      <vt:variant>
        <vt:lpwstr>_Toc425983828</vt:lpwstr>
      </vt:variant>
      <vt:variant>
        <vt:i4>1900593</vt:i4>
      </vt:variant>
      <vt:variant>
        <vt:i4>56</vt:i4>
      </vt:variant>
      <vt:variant>
        <vt:i4>0</vt:i4>
      </vt:variant>
      <vt:variant>
        <vt:i4>5</vt:i4>
      </vt:variant>
      <vt:variant>
        <vt:lpwstr/>
      </vt:variant>
      <vt:variant>
        <vt:lpwstr>_Toc425983827</vt:lpwstr>
      </vt:variant>
      <vt:variant>
        <vt:i4>1900593</vt:i4>
      </vt:variant>
      <vt:variant>
        <vt:i4>50</vt:i4>
      </vt:variant>
      <vt:variant>
        <vt:i4>0</vt:i4>
      </vt:variant>
      <vt:variant>
        <vt:i4>5</vt:i4>
      </vt:variant>
      <vt:variant>
        <vt:lpwstr/>
      </vt:variant>
      <vt:variant>
        <vt:lpwstr>_Toc425983826</vt:lpwstr>
      </vt:variant>
      <vt:variant>
        <vt:i4>1900593</vt:i4>
      </vt:variant>
      <vt:variant>
        <vt:i4>44</vt:i4>
      </vt:variant>
      <vt:variant>
        <vt:i4>0</vt:i4>
      </vt:variant>
      <vt:variant>
        <vt:i4>5</vt:i4>
      </vt:variant>
      <vt:variant>
        <vt:lpwstr/>
      </vt:variant>
      <vt:variant>
        <vt:lpwstr>_Toc425983825</vt:lpwstr>
      </vt:variant>
      <vt:variant>
        <vt:i4>1900593</vt:i4>
      </vt:variant>
      <vt:variant>
        <vt:i4>38</vt:i4>
      </vt:variant>
      <vt:variant>
        <vt:i4>0</vt:i4>
      </vt:variant>
      <vt:variant>
        <vt:i4>5</vt:i4>
      </vt:variant>
      <vt:variant>
        <vt:lpwstr/>
      </vt:variant>
      <vt:variant>
        <vt:lpwstr>_Toc425983824</vt:lpwstr>
      </vt:variant>
      <vt:variant>
        <vt:i4>1900593</vt:i4>
      </vt:variant>
      <vt:variant>
        <vt:i4>32</vt:i4>
      </vt:variant>
      <vt:variant>
        <vt:i4>0</vt:i4>
      </vt:variant>
      <vt:variant>
        <vt:i4>5</vt:i4>
      </vt:variant>
      <vt:variant>
        <vt:lpwstr/>
      </vt:variant>
      <vt:variant>
        <vt:lpwstr>_Toc425983823</vt:lpwstr>
      </vt:variant>
      <vt:variant>
        <vt:i4>1900593</vt:i4>
      </vt:variant>
      <vt:variant>
        <vt:i4>26</vt:i4>
      </vt:variant>
      <vt:variant>
        <vt:i4>0</vt:i4>
      </vt:variant>
      <vt:variant>
        <vt:i4>5</vt:i4>
      </vt:variant>
      <vt:variant>
        <vt:lpwstr/>
      </vt:variant>
      <vt:variant>
        <vt:lpwstr>_Toc425983822</vt:lpwstr>
      </vt:variant>
      <vt:variant>
        <vt:i4>1900593</vt:i4>
      </vt:variant>
      <vt:variant>
        <vt:i4>20</vt:i4>
      </vt:variant>
      <vt:variant>
        <vt:i4>0</vt:i4>
      </vt:variant>
      <vt:variant>
        <vt:i4>5</vt:i4>
      </vt:variant>
      <vt:variant>
        <vt:lpwstr/>
      </vt:variant>
      <vt:variant>
        <vt:lpwstr>_Toc425983821</vt:lpwstr>
      </vt:variant>
      <vt:variant>
        <vt:i4>1900593</vt:i4>
      </vt:variant>
      <vt:variant>
        <vt:i4>14</vt:i4>
      </vt:variant>
      <vt:variant>
        <vt:i4>0</vt:i4>
      </vt:variant>
      <vt:variant>
        <vt:i4>5</vt:i4>
      </vt:variant>
      <vt:variant>
        <vt:lpwstr/>
      </vt:variant>
      <vt:variant>
        <vt:lpwstr>_Toc425983820</vt:lpwstr>
      </vt:variant>
      <vt:variant>
        <vt:i4>1966129</vt:i4>
      </vt:variant>
      <vt:variant>
        <vt:i4>8</vt:i4>
      </vt:variant>
      <vt:variant>
        <vt:i4>0</vt:i4>
      </vt:variant>
      <vt:variant>
        <vt:i4>5</vt:i4>
      </vt:variant>
      <vt:variant>
        <vt:lpwstr/>
      </vt:variant>
      <vt:variant>
        <vt:lpwstr>_Toc425983819</vt:lpwstr>
      </vt:variant>
      <vt:variant>
        <vt:i4>1966129</vt:i4>
      </vt:variant>
      <vt:variant>
        <vt:i4>2</vt:i4>
      </vt:variant>
      <vt:variant>
        <vt:i4>0</vt:i4>
      </vt:variant>
      <vt:variant>
        <vt:i4>5</vt:i4>
      </vt:variant>
      <vt:variant>
        <vt:lpwstr/>
      </vt:variant>
      <vt:variant>
        <vt:lpwstr>_Toc425983818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 STUDIJE</dc:title>
  <dc:creator>Branka Jušinski</dc:creator>
  <cp:lastModifiedBy>Marko</cp:lastModifiedBy>
  <cp:revision>3</cp:revision>
  <cp:lastPrinted>2019-12-20T09:08:00Z</cp:lastPrinted>
  <dcterms:created xsi:type="dcterms:W3CDTF">2020-03-04T08:48:00Z</dcterms:created>
  <dcterms:modified xsi:type="dcterms:W3CDTF">2020-03-12T14:48:00Z</dcterms:modified>
</cp:coreProperties>
</file>